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Times New Roman" w:hAnsi="Times New Roman" w:eastAsia="方正小标宋_GBK" w:cs="方正小标宋_GBK"/>
          <w:b w:val="0"/>
          <w:bCs w:val="0"/>
          <w:color w:val="auto"/>
          <w:sz w:val="44"/>
          <w:szCs w:val="44"/>
          <w:highlight w:val="none"/>
          <w:lang w:eastAsia="zh-CN"/>
        </w:rPr>
      </w:pPr>
      <w:bookmarkStart w:id="200" w:name="_GoBack"/>
      <w:bookmarkEnd w:id="200"/>
      <w:r>
        <w:rPr>
          <w:rFonts w:hint="eastAsia" w:ascii="Times New Roman" w:hAnsi="Times New Roman" w:eastAsia="方正小标宋_GBK" w:cs="方正小标宋_GBK"/>
          <w:b w:val="0"/>
          <w:bCs w:val="0"/>
          <w:color w:val="auto"/>
          <w:sz w:val="44"/>
          <w:szCs w:val="44"/>
          <w:highlight w:val="none"/>
          <w:lang w:eastAsia="zh-CN"/>
        </w:rPr>
        <w:t>农村电网巩固提升工程中央预算内</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Times New Roman" w:hAnsi="Times New Roman" w:eastAsia="方正小标宋_GBK" w:cs="方正小标宋_GBK"/>
          <w:b w:val="0"/>
          <w:bCs w:val="0"/>
          <w:color w:val="auto"/>
          <w:sz w:val="44"/>
          <w:szCs w:val="44"/>
          <w:highlight w:val="none"/>
          <w:lang w:eastAsia="zh-CN"/>
        </w:rPr>
      </w:pPr>
      <w:r>
        <w:rPr>
          <w:rFonts w:hint="eastAsia" w:ascii="Times New Roman" w:hAnsi="Times New Roman" w:eastAsia="方正小标宋_GBK" w:cs="方正小标宋_GBK"/>
          <w:b w:val="0"/>
          <w:bCs w:val="0"/>
          <w:color w:val="auto"/>
          <w:sz w:val="44"/>
          <w:szCs w:val="44"/>
          <w:highlight w:val="none"/>
          <w:lang w:eastAsia="zh-CN"/>
        </w:rPr>
        <w:t>投资项目可行性研究报告编制和</w:t>
      </w:r>
      <w:r>
        <w:rPr>
          <w:rFonts w:hint="eastAsia" w:ascii="Times New Roman" w:hAnsi="Times New Roman" w:eastAsia="方正小标宋_GBK" w:cs="方正小标宋_GBK"/>
          <w:b w:val="0"/>
          <w:bCs w:val="0"/>
          <w:color w:val="auto"/>
          <w:sz w:val="44"/>
          <w:szCs w:val="44"/>
          <w:highlight w:val="none"/>
          <w:lang w:val="en-US" w:eastAsia="zh-CN"/>
        </w:rPr>
        <w:t>审查</w:t>
      </w:r>
      <w:r>
        <w:rPr>
          <w:rFonts w:hint="eastAsia" w:ascii="Times New Roman" w:hAnsi="Times New Roman" w:eastAsia="方正小标宋_GBK" w:cs="方正小标宋_GBK"/>
          <w:b w:val="0"/>
          <w:bCs w:val="0"/>
          <w:color w:val="auto"/>
          <w:sz w:val="44"/>
          <w:szCs w:val="44"/>
          <w:highlight w:val="none"/>
          <w:lang w:eastAsia="zh-CN"/>
        </w:rPr>
        <w:t>指南</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outlineLvl w:val="0"/>
        <w:rPr>
          <w:rFonts w:hint="eastAsia" w:ascii="Times New Roman" w:hAnsi="Times New Roman" w:eastAsia="方正楷体_GBK" w:cs="方正楷体_GBK"/>
          <w:b w:val="0"/>
          <w:bCs w:val="0"/>
          <w:color w:val="auto"/>
          <w:sz w:val="32"/>
          <w:szCs w:val="32"/>
          <w:highlight w:val="none"/>
          <w:lang w:eastAsia="zh-CN"/>
        </w:rPr>
      </w:pPr>
      <w:r>
        <w:rPr>
          <w:rFonts w:hint="eastAsia" w:ascii="Times New Roman" w:hAnsi="Times New Roman" w:eastAsia="方正楷体_GBK" w:cs="方正楷体_GBK"/>
          <w:b w:val="0"/>
          <w:bCs w:val="0"/>
          <w:color w:val="auto"/>
          <w:sz w:val="32"/>
          <w:szCs w:val="32"/>
          <w:highlight w:val="none"/>
          <w:lang w:eastAsia="zh-CN"/>
        </w:rPr>
        <w:t>（</w:t>
      </w:r>
      <w:r>
        <w:rPr>
          <w:rFonts w:hint="eastAsia" w:ascii="Times New Roman" w:hAnsi="Times New Roman" w:eastAsia="方正楷体_GBK" w:cs="方正楷体_GBK"/>
          <w:b w:val="0"/>
          <w:bCs w:val="0"/>
          <w:color w:val="auto"/>
          <w:sz w:val="32"/>
          <w:szCs w:val="32"/>
          <w:highlight w:val="none"/>
          <w:lang w:val="en-US" w:eastAsia="zh-CN"/>
        </w:rPr>
        <w:t>征求意见稿</w:t>
      </w:r>
      <w:r>
        <w:rPr>
          <w:rFonts w:hint="eastAsia" w:ascii="Times New Roman" w:hAnsi="Times New Roman" w:eastAsia="方正楷体_GBK" w:cs="方正楷体_GBK"/>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Times New Roman" w:hAnsi="Times New Roman" w:eastAsia="方正黑体_GBK" w:cs="方正黑体_GBK"/>
          <w:b w:val="0"/>
          <w:bCs w:val="0"/>
          <w:color w:val="auto"/>
          <w:sz w:val="44"/>
          <w:szCs w:val="44"/>
          <w:highlight w:val="none"/>
          <w:lang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firstLine="0" w:firstLineChars="0"/>
        <w:jc w:val="center"/>
        <w:textAlignment w:val="auto"/>
        <w:outlineLvl w:val="0"/>
        <w:rPr>
          <w:rFonts w:hint="eastAsia" w:ascii="Times New Roman" w:hAnsi="Times New Roman" w:eastAsia="黑体" w:cs="黑体"/>
          <w:b w:val="0"/>
          <w:bCs w:val="0"/>
          <w:color w:val="auto"/>
          <w:sz w:val="32"/>
          <w:szCs w:val="32"/>
          <w:highlight w:val="none"/>
          <w:lang w:val="en-US" w:eastAsia="zh-CN"/>
        </w:rPr>
      </w:pPr>
      <w:r>
        <w:rPr>
          <w:rFonts w:hint="eastAsia" w:ascii="Times New Roman" w:hAnsi="Times New Roman" w:eastAsia="黑体" w:cs="黑体"/>
          <w:b w:val="0"/>
          <w:bCs w:val="0"/>
          <w:color w:val="auto"/>
          <w:sz w:val="32"/>
          <w:szCs w:val="32"/>
          <w:highlight w:val="none"/>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黑体" w:cs="黑体"/>
          <w:b w:val="0"/>
          <w:bCs w:val="0"/>
          <w:color w:val="auto"/>
          <w:sz w:val="32"/>
          <w:szCs w:val="32"/>
          <w:highlight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u w:val="none"/>
          <w:lang w:val="en-US" w:eastAsia="zh-CN"/>
        </w:rPr>
        <w:t>为</w:t>
      </w:r>
      <w:r>
        <w:rPr>
          <w:rFonts w:hint="eastAsia" w:cs="仿宋_GB2312"/>
          <w:b w:val="0"/>
          <w:bCs w:val="0"/>
          <w:color w:val="auto"/>
          <w:sz w:val="32"/>
          <w:szCs w:val="32"/>
          <w:highlight w:val="none"/>
          <w:u w:val="none"/>
          <w:lang w:val="en-US" w:eastAsia="zh-CN"/>
        </w:rPr>
        <w:t>加强</w:t>
      </w:r>
      <w:r>
        <w:rPr>
          <w:rFonts w:hint="eastAsia" w:ascii="Times New Roman" w:hAnsi="Times New Roman" w:eastAsia="仿宋_GB2312" w:cs="仿宋_GB2312"/>
          <w:b w:val="0"/>
          <w:bCs w:val="0"/>
          <w:color w:val="auto"/>
          <w:sz w:val="32"/>
          <w:szCs w:val="32"/>
          <w:highlight w:val="none"/>
          <w:u w:val="none"/>
          <w:lang w:val="en-US" w:eastAsia="zh-CN"/>
        </w:rPr>
        <w:t>农村电网巩固提升工程中央预算内投资项目</w:t>
      </w:r>
      <w:r>
        <w:rPr>
          <w:rFonts w:hint="eastAsia" w:cs="仿宋_GB2312"/>
          <w:b w:val="0"/>
          <w:bCs w:val="0"/>
          <w:color w:val="auto"/>
          <w:sz w:val="32"/>
          <w:szCs w:val="32"/>
          <w:highlight w:val="none"/>
          <w:u w:val="none"/>
          <w:lang w:val="en-US" w:eastAsia="zh-CN"/>
        </w:rPr>
        <w:t>管理，规范项目</w:t>
      </w:r>
      <w:r>
        <w:rPr>
          <w:rFonts w:hint="eastAsia" w:ascii="Times New Roman" w:hAnsi="Times New Roman" w:eastAsia="仿宋_GB2312" w:cs="仿宋_GB2312"/>
          <w:b w:val="0"/>
          <w:bCs w:val="0"/>
          <w:color w:val="auto"/>
          <w:sz w:val="32"/>
          <w:szCs w:val="32"/>
          <w:highlight w:val="none"/>
          <w:u w:val="none"/>
          <w:lang w:val="en-US" w:eastAsia="zh-CN"/>
        </w:rPr>
        <w:t>可行性研究报告编制和审查工作，</w:t>
      </w:r>
      <w:r>
        <w:rPr>
          <w:rFonts w:hint="eastAsia" w:cs="仿宋_GB2312"/>
          <w:b w:val="0"/>
          <w:bCs w:val="0"/>
          <w:color w:val="auto"/>
          <w:sz w:val="32"/>
          <w:szCs w:val="32"/>
          <w:highlight w:val="none"/>
          <w:u w:val="none"/>
          <w:lang w:val="en-US" w:eastAsia="zh-CN"/>
        </w:rPr>
        <w:t>充分</w:t>
      </w:r>
      <w:r>
        <w:rPr>
          <w:rFonts w:hint="eastAsia" w:ascii="Times New Roman" w:hAnsi="Times New Roman" w:eastAsia="仿宋_GB2312" w:cs="仿宋_GB2312"/>
          <w:b w:val="0"/>
          <w:bCs w:val="0"/>
          <w:color w:val="auto"/>
          <w:sz w:val="32"/>
          <w:szCs w:val="32"/>
          <w:highlight w:val="none"/>
          <w:u w:val="none"/>
          <w:lang w:val="en-US" w:eastAsia="zh-CN"/>
        </w:rPr>
        <w:t>发挥中央预算内投资效益，根据</w:t>
      </w:r>
      <w:r>
        <w:rPr>
          <w:rFonts w:hint="eastAsia" w:ascii="仿宋_GB2312" w:hAnsi="仿宋_GB2312" w:cs="仿宋_GB2312"/>
          <w:lang w:eastAsia="zh-CN"/>
        </w:rPr>
        <w:t>《政府投资条例》</w:t>
      </w:r>
      <w:r>
        <w:rPr>
          <w:rFonts w:hint="eastAsia" w:ascii="Times New Roman" w:hAnsi="Times New Roman" w:eastAsia="仿宋_GB2312" w:cs="仿宋_GB2312"/>
          <w:b w:val="0"/>
          <w:bCs w:val="0"/>
          <w:color w:val="auto"/>
          <w:sz w:val="32"/>
          <w:szCs w:val="32"/>
          <w:highlight w:val="none"/>
          <w:u w:val="none"/>
          <w:lang w:val="en-US" w:eastAsia="zh-CN"/>
        </w:rPr>
        <w:t>《政府投资项目可行性研究报告编写通用大纲（2023年版）》</w:t>
      </w:r>
      <w:r>
        <w:rPr>
          <w:rFonts w:hint="eastAsia" w:cs="仿宋_GB2312"/>
          <w:b w:val="0"/>
          <w:bCs w:val="0"/>
          <w:color w:val="auto"/>
          <w:sz w:val="32"/>
          <w:szCs w:val="32"/>
          <w:highlight w:val="none"/>
          <w:u w:val="none"/>
          <w:lang w:val="en-US" w:eastAsia="zh-CN"/>
        </w:rPr>
        <w:t>和</w:t>
      </w:r>
      <w:r>
        <w:rPr>
          <w:rFonts w:hint="eastAsia" w:ascii="Times New Roman" w:hAnsi="Times New Roman" w:eastAsia="仿宋_GB2312" w:cs="仿宋_GB2312"/>
          <w:b w:val="0"/>
          <w:bCs w:val="0"/>
          <w:color w:val="auto"/>
          <w:sz w:val="32"/>
          <w:szCs w:val="32"/>
          <w:highlight w:val="none"/>
          <w:u w:val="none"/>
          <w:lang w:val="en-US" w:eastAsia="zh-CN"/>
        </w:rPr>
        <w:t>农村电网巩固提升工程中央预算内投资管理有关规定，制定本指南</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本指南所称农村电网是指县级行政区域内（不含市辖区的城镇区域）110千伏及以下公用电力设施，包括相关输电、供电和因公用电网覆盖能力不足而建设的可再生能源局域网等电力设施。</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农村电网巩固提升工程中央预算内投资</w:t>
      </w:r>
      <w:r>
        <w:rPr>
          <w:rFonts w:hint="eastAsia" w:cs="仿宋_GB2312"/>
          <w:b w:val="0"/>
          <w:bCs w:val="0"/>
          <w:color w:val="auto"/>
          <w:sz w:val="32"/>
          <w:szCs w:val="32"/>
          <w:highlight w:val="none"/>
          <w:lang w:val="en-US" w:eastAsia="zh-CN"/>
        </w:rPr>
        <w:t>重点支持中西部地区和东北地区中低压配电网改造，兼顾各电压等级协调发展。</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本指南适用于</w:t>
      </w:r>
      <w:r>
        <w:rPr>
          <w:rFonts w:hint="eastAsia" w:ascii="Times New Roman" w:hAnsi="Times New Roman" w:eastAsia="仿宋_GB2312" w:cs="仿宋_GB2312"/>
          <w:b w:val="0"/>
          <w:bCs w:val="0"/>
          <w:color w:val="auto"/>
          <w:sz w:val="32"/>
          <w:szCs w:val="32"/>
          <w:highlight w:val="none"/>
          <w:u w:val="none"/>
          <w:lang w:val="en-US" w:eastAsia="zh-CN"/>
        </w:rPr>
        <w:t>农村电网巩固提升工程中央预算内投资项目（以下简称项目）</w:t>
      </w:r>
      <w:r>
        <w:rPr>
          <w:rFonts w:hint="eastAsia" w:ascii="Times New Roman" w:hAnsi="Times New Roman" w:eastAsia="仿宋_GB2312" w:cs="仿宋_GB2312"/>
          <w:b w:val="0"/>
          <w:bCs w:val="0"/>
          <w:color w:val="auto"/>
          <w:sz w:val="32"/>
          <w:szCs w:val="32"/>
          <w:highlight w:val="none"/>
          <w:lang w:val="en-US" w:eastAsia="zh-CN"/>
        </w:rPr>
        <w:t>的</w:t>
      </w:r>
      <w:r>
        <w:rPr>
          <w:rFonts w:hint="eastAsia" w:ascii="Times New Roman" w:hAnsi="Times New Roman" w:eastAsia="仿宋_GB2312" w:cs="仿宋_GB2312"/>
          <w:b w:val="0"/>
          <w:bCs w:val="0"/>
          <w:color w:val="auto"/>
          <w:sz w:val="32"/>
          <w:szCs w:val="32"/>
          <w:highlight w:val="none"/>
          <w:u w:val="none"/>
          <w:lang w:val="en-US" w:eastAsia="zh-CN"/>
        </w:rPr>
        <w:t>可行性研究报告编制和审查</w:t>
      </w:r>
      <w:r>
        <w:rPr>
          <w:rFonts w:hint="eastAsia" w:ascii="Times New Roman" w:hAnsi="Times New Roman" w:eastAsia="仿宋_GB2312" w:cs="仿宋_GB2312"/>
          <w:b w:val="0"/>
          <w:bCs w:val="0"/>
          <w:color w:val="auto"/>
          <w:sz w:val="32"/>
          <w:szCs w:val="32"/>
          <w:highlight w:val="none"/>
          <w:lang w:val="en-US" w:eastAsia="zh-CN"/>
        </w:rPr>
        <w:t>工作</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cs="仿宋_GB2312"/>
          <w:b w:val="0"/>
          <w:bCs w:val="0"/>
          <w:color w:val="auto"/>
          <w:sz w:val="32"/>
          <w:szCs w:val="32"/>
          <w:highlight w:val="none"/>
          <w:u w:val="none"/>
          <w:lang w:val="en-US" w:eastAsia="zh-CN"/>
        </w:rPr>
        <w:t>申请</w:t>
      </w:r>
      <w:r>
        <w:rPr>
          <w:rFonts w:hint="eastAsia" w:ascii="Times New Roman" w:hAnsi="Times New Roman" w:eastAsia="仿宋_GB2312" w:cs="仿宋_GB2312"/>
          <w:b w:val="0"/>
          <w:bCs w:val="0"/>
          <w:color w:val="auto"/>
          <w:sz w:val="32"/>
          <w:szCs w:val="32"/>
          <w:highlight w:val="none"/>
          <w:u w:val="none"/>
          <w:lang w:val="en-US" w:eastAsia="zh-CN"/>
        </w:rPr>
        <w:t>中央预算内投资</w:t>
      </w:r>
      <w:r>
        <w:rPr>
          <w:rFonts w:hint="eastAsia" w:cs="仿宋_GB2312"/>
          <w:b w:val="0"/>
          <w:bCs w:val="0"/>
          <w:color w:val="auto"/>
          <w:sz w:val="32"/>
          <w:szCs w:val="32"/>
          <w:highlight w:val="none"/>
          <w:u w:val="none"/>
          <w:lang w:val="en-US" w:eastAsia="zh-CN"/>
        </w:rPr>
        <w:t>支持的农村电网巩固提升</w:t>
      </w:r>
      <w:r>
        <w:rPr>
          <w:rFonts w:hint="eastAsia" w:ascii="Times New Roman" w:hAnsi="Times New Roman" w:eastAsia="仿宋_GB2312" w:cs="仿宋_GB2312"/>
          <w:b w:val="0"/>
          <w:bCs w:val="0"/>
          <w:color w:val="auto"/>
          <w:sz w:val="32"/>
          <w:szCs w:val="32"/>
          <w:highlight w:val="none"/>
          <w:u w:val="none"/>
          <w:lang w:val="en-US" w:eastAsia="zh-CN"/>
        </w:rPr>
        <w:t>项目应</w:t>
      </w:r>
      <w:r>
        <w:rPr>
          <w:rFonts w:hint="eastAsia" w:cs="仿宋_GB2312"/>
          <w:b w:val="0"/>
          <w:bCs w:val="0"/>
          <w:color w:val="auto"/>
          <w:sz w:val="32"/>
          <w:szCs w:val="32"/>
          <w:highlight w:val="none"/>
          <w:u w:val="none"/>
          <w:lang w:val="en-US" w:eastAsia="zh-CN"/>
        </w:rPr>
        <w:t>满足以下条件：</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leftChars="0" w:firstLine="640" w:firstLineChars="200"/>
        <w:textAlignment w:val="auto"/>
        <w:rPr>
          <w:rFonts w:hint="eastAsia" w:cs="仿宋_GB2312"/>
          <w:b w:val="0"/>
          <w:bCs w:val="0"/>
          <w:color w:val="auto"/>
          <w:sz w:val="32"/>
          <w:szCs w:val="32"/>
          <w:highlight w:val="none"/>
          <w:u w:val="none"/>
          <w:lang w:val="en-US" w:eastAsia="zh-CN"/>
        </w:rPr>
      </w:pPr>
      <w:r>
        <w:rPr>
          <w:rFonts w:hint="eastAsia" w:cs="仿宋_GB2312"/>
          <w:b w:val="0"/>
          <w:bCs w:val="0"/>
          <w:color w:val="auto"/>
          <w:sz w:val="32"/>
          <w:szCs w:val="32"/>
          <w:highlight w:val="none"/>
          <w:u w:val="none"/>
          <w:lang w:val="en-US" w:eastAsia="zh-CN"/>
        </w:rPr>
        <w:t>项目已纳入当地</w:t>
      </w:r>
      <w:r>
        <w:rPr>
          <w:rFonts w:hint="eastAsia" w:ascii="Times New Roman" w:hAnsi="Times New Roman" w:eastAsia="仿宋_GB2312" w:cs="仿宋_GB2312"/>
          <w:b w:val="0"/>
          <w:bCs w:val="0"/>
          <w:color w:val="auto"/>
          <w:sz w:val="32"/>
          <w:szCs w:val="32"/>
          <w:highlight w:val="none"/>
          <w:u w:val="none"/>
          <w:lang w:val="en-US" w:eastAsia="zh-CN"/>
        </w:rPr>
        <w:t>农村电网巩固提升工程</w:t>
      </w:r>
      <w:r>
        <w:rPr>
          <w:rFonts w:hint="eastAsia" w:cs="仿宋_GB2312"/>
          <w:b w:val="0"/>
          <w:bCs w:val="0"/>
          <w:color w:val="auto"/>
          <w:sz w:val="32"/>
          <w:szCs w:val="32"/>
          <w:highlight w:val="none"/>
          <w:u w:val="none"/>
          <w:lang w:val="en-US" w:eastAsia="zh-CN"/>
        </w:rPr>
        <w:t>规划和滚动投资计划，项目可行性研究报告经所在省级发展改革委审批同意。</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leftChars="0" w:firstLine="640" w:firstLineChars="200"/>
        <w:textAlignment w:val="auto"/>
        <w:rPr>
          <w:rFonts w:hint="eastAsia" w:cs="仿宋_GB2312"/>
          <w:b w:val="0"/>
          <w:bCs w:val="0"/>
          <w:color w:val="auto"/>
          <w:sz w:val="32"/>
          <w:szCs w:val="32"/>
          <w:highlight w:val="none"/>
          <w:u w:val="none"/>
          <w:lang w:val="en-US" w:eastAsia="zh-CN"/>
        </w:rPr>
      </w:pPr>
      <w:r>
        <w:rPr>
          <w:rFonts w:hint="eastAsia" w:cs="仿宋_GB2312"/>
          <w:b w:val="0"/>
          <w:bCs w:val="0"/>
          <w:color w:val="auto"/>
          <w:sz w:val="32"/>
          <w:szCs w:val="32"/>
          <w:highlight w:val="none"/>
          <w:u w:val="none"/>
          <w:lang w:val="en-US" w:eastAsia="zh-CN"/>
        </w:rPr>
        <w:t>项目建设主要目的是为保障农村生产生活电力需求，服务</w:t>
      </w:r>
      <w:r>
        <w:rPr>
          <w:rFonts w:hint="eastAsia" w:ascii="Times New Roman" w:hAnsi="Times New Roman" w:eastAsia="仿宋_GB2312" w:cs="仿宋_GB2312"/>
          <w:b w:val="0"/>
          <w:bCs w:val="0"/>
          <w:color w:val="auto"/>
          <w:sz w:val="32"/>
          <w:szCs w:val="32"/>
          <w:highlight w:val="none"/>
          <w:u w:val="none"/>
          <w:lang w:val="en-US" w:eastAsia="zh-CN"/>
        </w:rPr>
        <w:t>农业农村现代化</w:t>
      </w:r>
      <w:r>
        <w:rPr>
          <w:rFonts w:hint="eastAsia" w:cs="仿宋_GB2312"/>
          <w:b w:val="0"/>
          <w:bCs w:val="0"/>
          <w:color w:val="auto"/>
          <w:sz w:val="32"/>
          <w:szCs w:val="32"/>
          <w:highlight w:val="none"/>
          <w:u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其中，10千伏及以下电压等级项目预期接入农村居民、农业生产、农产品加工等涉农用户容量不得低于接入用户总容量的60%，110</w:t>
      </w:r>
      <w:r>
        <w:rPr>
          <w:rFonts w:hint="eastAsia" w:cs="仿宋_GB2312"/>
          <w:b w:val="0"/>
          <w:bCs w:val="0"/>
          <w:color w:val="auto"/>
          <w:sz w:val="32"/>
          <w:szCs w:val="32"/>
          <w:highlight w:val="none"/>
          <w:lang w:val="en-US" w:eastAsia="zh-CN"/>
        </w:rPr>
        <w:t>（66）</w:t>
      </w:r>
      <w:r>
        <w:rPr>
          <w:rFonts w:hint="eastAsia" w:ascii="Times New Roman" w:hAnsi="Times New Roman" w:eastAsia="仿宋_GB2312" w:cs="仿宋_GB2312"/>
          <w:b w:val="0"/>
          <w:bCs w:val="0"/>
          <w:color w:val="auto"/>
          <w:sz w:val="32"/>
          <w:szCs w:val="32"/>
          <w:highlight w:val="none"/>
          <w:lang w:val="en-US" w:eastAsia="zh-CN"/>
        </w:rPr>
        <w:t>千伏、35千伏电压等级项目预期接入涉农用户容量不得低于接入用户总容量的</w:t>
      </w:r>
      <w:r>
        <w:rPr>
          <w:rFonts w:hint="eastAsia" w:cs="仿宋_GB2312"/>
          <w:b w:val="0"/>
          <w:bCs w:val="0"/>
          <w:color w:val="auto"/>
          <w:sz w:val="32"/>
          <w:szCs w:val="32"/>
          <w:highlight w:val="none"/>
          <w:lang w:val="en-US" w:eastAsia="zh-CN"/>
        </w:rPr>
        <w:t>5</w:t>
      </w:r>
      <w:r>
        <w:rPr>
          <w:rFonts w:hint="eastAsia" w:ascii="Times New Roman" w:hAnsi="Times New Roman" w:eastAsia="仿宋_GB2312" w:cs="仿宋_GB2312"/>
          <w:b w:val="0"/>
          <w:bCs w:val="0"/>
          <w:color w:val="auto"/>
          <w:sz w:val="32"/>
          <w:szCs w:val="32"/>
          <w:highlight w:val="none"/>
          <w:lang w:val="en-US" w:eastAsia="zh-CN"/>
        </w:rPr>
        <w:t>0%。</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leftChars="0" w:firstLine="640" w:firstLineChars="200"/>
        <w:textAlignment w:val="auto"/>
        <w:rPr>
          <w:rFonts w:hint="eastAsia" w:cs="仿宋_GB2312"/>
          <w:b w:val="0"/>
          <w:bCs w:val="0"/>
          <w:color w:val="auto"/>
          <w:sz w:val="32"/>
          <w:szCs w:val="32"/>
          <w:highlight w:val="none"/>
          <w:u w:val="none"/>
          <w:lang w:val="en-US" w:eastAsia="zh-CN"/>
        </w:rPr>
      </w:pPr>
      <w:r>
        <w:rPr>
          <w:rFonts w:hint="eastAsia" w:cs="仿宋_GB2312"/>
          <w:b w:val="0"/>
          <w:bCs w:val="0"/>
          <w:color w:val="auto"/>
          <w:sz w:val="32"/>
          <w:szCs w:val="32"/>
          <w:highlight w:val="none"/>
          <w:lang w:val="en-US" w:eastAsia="zh-CN"/>
        </w:rPr>
        <w:t>原则上不支持非必要</w:t>
      </w:r>
      <w:r>
        <w:rPr>
          <w:rFonts w:hint="eastAsia" w:ascii="Times New Roman" w:hAnsi="Times New Roman" w:eastAsia="仿宋_GB2312" w:cs="仿宋_GB2312"/>
          <w:b w:val="0"/>
          <w:bCs w:val="0"/>
          <w:color w:val="auto"/>
          <w:sz w:val="32"/>
          <w:szCs w:val="32"/>
          <w:highlight w:val="none"/>
          <w:lang w:val="en-US" w:eastAsia="zh-CN"/>
        </w:rPr>
        <w:t>入地电缆</w:t>
      </w:r>
      <w:r>
        <w:rPr>
          <w:rFonts w:hint="eastAsia" w:cs="仿宋_GB2312"/>
          <w:b w:val="0"/>
          <w:bCs w:val="0"/>
          <w:color w:val="auto"/>
          <w:sz w:val="32"/>
          <w:szCs w:val="32"/>
          <w:highlight w:val="none"/>
          <w:lang w:val="en-US" w:eastAsia="zh-CN"/>
        </w:rPr>
        <w:t>、专项</w:t>
      </w:r>
      <w:r>
        <w:rPr>
          <w:rFonts w:hint="eastAsia" w:ascii="Times New Roman" w:hAnsi="Times New Roman" w:eastAsia="仿宋_GB2312" w:cs="仿宋_GB2312"/>
          <w:b w:val="0"/>
          <w:bCs w:val="0"/>
          <w:color w:val="auto"/>
          <w:sz w:val="32"/>
          <w:szCs w:val="32"/>
          <w:highlight w:val="none"/>
          <w:lang w:val="en-US" w:eastAsia="zh-CN"/>
        </w:rPr>
        <w:t>电网智能化</w:t>
      </w:r>
      <w:r>
        <w:rPr>
          <w:rFonts w:hint="eastAsia" w:cs="仿宋_GB2312"/>
          <w:b w:val="0"/>
          <w:bCs w:val="0"/>
          <w:color w:val="auto"/>
          <w:sz w:val="32"/>
          <w:szCs w:val="32"/>
          <w:highlight w:val="none"/>
          <w:lang w:val="en-US" w:eastAsia="zh-CN"/>
        </w:rPr>
        <w:t>建设</w:t>
      </w:r>
      <w:r>
        <w:rPr>
          <w:rFonts w:hint="eastAsia" w:ascii="Times New Roman" w:hAnsi="Times New Roman" w:eastAsia="仿宋_GB2312" w:cs="仿宋_GB2312"/>
          <w:b w:val="0"/>
          <w:bCs w:val="0"/>
          <w:color w:val="auto"/>
          <w:sz w:val="32"/>
          <w:szCs w:val="32"/>
          <w:highlight w:val="none"/>
          <w:lang w:val="en-US" w:eastAsia="zh-CN"/>
        </w:rPr>
        <w:t>改造</w:t>
      </w:r>
      <w:r>
        <w:rPr>
          <w:rFonts w:hint="eastAsia" w:cs="仿宋_GB2312"/>
          <w:b w:val="0"/>
          <w:bCs w:val="0"/>
          <w:color w:val="auto"/>
          <w:sz w:val="32"/>
          <w:szCs w:val="32"/>
          <w:highlight w:val="none"/>
          <w:lang w:val="en-US" w:eastAsia="zh-CN"/>
        </w:rPr>
        <w:t>等项目。</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项目法人</w:t>
      </w:r>
      <w:r>
        <w:rPr>
          <w:rFonts w:hint="eastAsia" w:cs="仿宋_GB2312"/>
          <w:b w:val="0"/>
          <w:bCs w:val="0"/>
          <w:color w:val="auto"/>
          <w:sz w:val="32"/>
          <w:szCs w:val="32"/>
          <w:highlight w:val="none"/>
          <w:lang w:eastAsia="zh-CN"/>
        </w:rPr>
        <w:t>负责</w:t>
      </w:r>
      <w:r>
        <w:rPr>
          <w:rFonts w:hint="eastAsia" w:ascii="Times New Roman" w:hAnsi="Times New Roman" w:eastAsia="仿宋_GB2312" w:cs="仿宋_GB2312"/>
          <w:b w:val="0"/>
          <w:bCs w:val="0"/>
          <w:color w:val="auto"/>
          <w:sz w:val="32"/>
          <w:szCs w:val="32"/>
          <w:highlight w:val="none"/>
          <w:lang w:eastAsia="zh-CN"/>
        </w:rPr>
        <w:t>组织编制农村电网巩固提升工程</w:t>
      </w:r>
      <w:r>
        <w:rPr>
          <w:rFonts w:hint="eastAsia" w:ascii="Times New Roman" w:hAnsi="Times New Roman" w:eastAsia="仿宋_GB2312" w:cs="仿宋_GB2312"/>
          <w:b w:val="0"/>
          <w:bCs w:val="0"/>
          <w:color w:val="auto"/>
          <w:sz w:val="32"/>
          <w:szCs w:val="32"/>
          <w:highlight w:val="none"/>
          <w:lang w:val="en-US" w:eastAsia="zh-CN"/>
        </w:rPr>
        <w:t>项目可行性研究报告</w:t>
      </w:r>
      <w:r>
        <w:rPr>
          <w:rFonts w:hint="eastAsia" w:ascii="Times New Roman" w:hAnsi="Times New Roman" w:eastAsia="仿宋_GB2312" w:cs="仿宋_GB2312"/>
          <w:b w:val="0"/>
          <w:bCs w:val="0"/>
          <w:color w:val="auto"/>
          <w:sz w:val="32"/>
          <w:szCs w:val="32"/>
          <w:highlight w:val="none"/>
          <w:lang w:eastAsia="zh-CN"/>
        </w:rPr>
        <w:t>。省级发展改革委</w:t>
      </w:r>
      <w:r>
        <w:rPr>
          <w:rFonts w:hint="eastAsia" w:cs="仿宋_GB2312"/>
          <w:b w:val="0"/>
          <w:bCs w:val="0"/>
          <w:color w:val="auto"/>
          <w:sz w:val="32"/>
          <w:szCs w:val="32"/>
          <w:highlight w:val="none"/>
          <w:lang w:eastAsia="zh-CN"/>
        </w:rPr>
        <w:t>负责审批</w:t>
      </w:r>
      <w:r>
        <w:rPr>
          <w:rFonts w:hint="eastAsia" w:ascii="Times New Roman" w:hAnsi="Times New Roman" w:eastAsia="仿宋_GB2312" w:cs="仿宋_GB2312"/>
          <w:b w:val="0"/>
          <w:bCs w:val="0"/>
          <w:color w:val="auto"/>
          <w:sz w:val="32"/>
          <w:szCs w:val="32"/>
          <w:highlight w:val="none"/>
          <w:lang w:val="en-US" w:eastAsia="zh-CN"/>
        </w:rPr>
        <w:t>项目可行性研究报告</w:t>
      </w:r>
      <w:r>
        <w:rPr>
          <w:rFonts w:hint="eastAsia" w:cs="仿宋_GB2312"/>
          <w:b w:val="0"/>
          <w:bCs w:val="0"/>
          <w:color w:val="auto"/>
          <w:sz w:val="32"/>
          <w:szCs w:val="32"/>
          <w:highlight w:val="none"/>
          <w:lang w:val="en-US" w:eastAsia="zh-CN"/>
        </w:rPr>
        <w:t>。</w:t>
      </w:r>
    </w:p>
    <w:p>
      <w:pPr>
        <w:pStyle w:val="2"/>
        <w:rPr>
          <w:rFonts w:hint="eastAsia"/>
        </w:rPr>
      </w:pPr>
      <w:r>
        <w:rPr>
          <w:rFonts w:hint="eastAsia" w:cs="仿宋_GB2312"/>
          <w:b w:val="0"/>
          <w:bCs w:val="0"/>
          <w:color w:val="auto"/>
          <w:sz w:val="32"/>
          <w:szCs w:val="32"/>
          <w:highlight w:val="none"/>
          <w:lang w:val="en-US" w:eastAsia="zh-CN"/>
        </w:rPr>
        <w:t>国家发展改革委、国家能源局视情况对</w:t>
      </w:r>
      <w:r>
        <w:rPr>
          <w:rFonts w:hint="eastAsia" w:ascii="Times New Roman" w:hAnsi="Times New Roman" w:eastAsia="仿宋_GB2312" w:cs="仿宋_GB2312"/>
          <w:b w:val="0"/>
          <w:bCs w:val="0"/>
          <w:color w:val="auto"/>
          <w:sz w:val="32"/>
          <w:szCs w:val="32"/>
          <w:highlight w:val="none"/>
          <w:lang w:eastAsia="zh-CN"/>
        </w:rPr>
        <w:t>省级发展改革委</w:t>
      </w:r>
      <w:r>
        <w:rPr>
          <w:rFonts w:hint="eastAsia" w:cs="仿宋_GB2312"/>
          <w:b w:val="0"/>
          <w:bCs w:val="0"/>
          <w:color w:val="auto"/>
          <w:sz w:val="32"/>
          <w:szCs w:val="32"/>
          <w:highlight w:val="none"/>
          <w:lang w:eastAsia="zh-CN"/>
        </w:rPr>
        <w:t>审批的</w:t>
      </w:r>
      <w:r>
        <w:rPr>
          <w:rFonts w:hint="eastAsia" w:ascii="Times New Roman" w:hAnsi="Times New Roman" w:eastAsia="仿宋_GB2312" w:cs="仿宋_GB2312"/>
          <w:b w:val="0"/>
          <w:bCs w:val="0"/>
          <w:color w:val="auto"/>
          <w:sz w:val="32"/>
          <w:szCs w:val="32"/>
          <w:highlight w:val="none"/>
          <w:lang w:val="en-US" w:eastAsia="zh-CN"/>
        </w:rPr>
        <w:t>项目可行性研究报告</w:t>
      </w:r>
      <w:r>
        <w:rPr>
          <w:rFonts w:hint="eastAsia" w:cs="仿宋_GB2312"/>
          <w:b w:val="0"/>
          <w:bCs w:val="0"/>
          <w:color w:val="auto"/>
          <w:sz w:val="32"/>
          <w:szCs w:val="32"/>
          <w:highlight w:val="none"/>
          <w:lang w:val="en-US" w:eastAsia="zh-CN"/>
        </w:rPr>
        <w:t>进行抽查复核。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b w:val="0"/>
          <w:bCs w:val="0"/>
          <w:color w:val="auto"/>
          <w:sz w:val="32"/>
          <w:szCs w:val="32"/>
          <w:highlight w:val="none"/>
          <w:lang w:val="en-US" w:eastAsia="zh-CN"/>
        </w:rPr>
      </w:pP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val="0"/>
        <w:spacing w:line="560" w:lineRule="exact"/>
        <w:ind w:firstLine="402" w:firstLineChars="0"/>
        <w:jc w:val="center"/>
        <w:textAlignment w:val="auto"/>
        <w:outlineLvl w:val="0"/>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lang w:val="en-US" w:eastAsia="zh-CN"/>
        </w:rPr>
        <w:t>项目</w:t>
      </w:r>
      <w:r>
        <w:rPr>
          <w:rFonts w:hint="eastAsia" w:ascii="Times New Roman" w:hAnsi="Times New Roman" w:eastAsia="黑体" w:cs="黑体"/>
          <w:b w:val="0"/>
          <w:bCs w:val="0"/>
          <w:color w:val="auto"/>
          <w:sz w:val="32"/>
          <w:szCs w:val="32"/>
          <w:highlight w:val="none"/>
        </w:rPr>
        <w:t>可行性研究报告编制和</w:t>
      </w:r>
      <w:r>
        <w:rPr>
          <w:rFonts w:hint="eastAsia" w:eastAsia="黑体" w:cs="黑体"/>
          <w:b w:val="0"/>
          <w:bCs w:val="0"/>
          <w:color w:val="auto"/>
          <w:sz w:val="32"/>
          <w:szCs w:val="32"/>
          <w:highlight w:val="none"/>
          <w:lang w:eastAsia="zh-CN"/>
        </w:rPr>
        <w:t>审查</w:t>
      </w:r>
      <w:r>
        <w:rPr>
          <w:rFonts w:hint="eastAsia" w:ascii="Times New Roman" w:hAnsi="Times New Roman" w:eastAsia="黑体" w:cs="黑体"/>
          <w:b w:val="0"/>
          <w:bCs w:val="0"/>
          <w:color w:val="auto"/>
          <w:sz w:val="32"/>
          <w:szCs w:val="32"/>
          <w:highlight w:val="none"/>
          <w:lang w:val="en-US" w:eastAsia="zh-CN"/>
        </w:rPr>
        <w:t>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黑体"/>
          <w:b w:val="0"/>
          <w:bCs w:val="0"/>
          <w:color w:val="auto"/>
          <w:sz w:val="32"/>
          <w:szCs w:val="32"/>
          <w:highlight w:val="none"/>
        </w:rPr>
      </w:pP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项目法人应根据</w:t>
      </w:r>
      <w:r>
        <w:rPr>
          <w:rFonts w:hint="eastAsia" w:ascii="Times New Roman" w:hAnsi="Times New Roman" w:eastAsia="仿宋_GB2312" w:cs="仿宋_GB2312"/>
          <w:b w:val="0"/>
          <w:bCs w:val="0"/>
          <w:color w:val="auto"/>
          <w:sz w:val="32"/>
          <w:szCs w:val="32"/>
          <w:highlight w:val="none"/>
          <w:lang w:val="en-US" w:eastAsia="zh-CN"/>
        </w:rPr>
        <w:t>农村电网巩固提升工程规划和中央预算内投资年度重点支持方向，从三年项目储备库中优选项目</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商市县</w:t>
      </w:r>
      <w:r>
        <w:rPr>
          <w:rFonts w:hint="eastAsia" w:cs="仿宋_GB2312"/>
          <w:b w:val="0"/>
          <w:bCs w:val="0"/>
          <w:color w:val="auto"/>
          <w:sz w:val="32"/>
          <w:szCs w:val="32"/>
          <w:highlight w:val="none"/>
          <w:lang w:val="en-US" w:eastAsia="zh-CN"/>
        </w:rPr>
        <w:t>级</w:t>
      </w:r>
      <w:r>
        <w:rPr>
          <w:rFonts w:hint="eastAsia" w:ascii="Times New Roman" w:hAnsi="Times New Roman" w:eastAsia="仿宋_GB2312" w:cs="仿宋_GB2312"/>
          <w:b w:val="0"/>
          <w:bCs w:val="0"/>
          <w:color w:val="auto"/>
          <w:sz w:val="32"/>
          <w:szCs w:val="32"/>
          <w:highlight w:val="none"/>
          <w:lang w:val="en-US" w:eastAsia="zh-CN"/>
        </w:rPr>
        <w:t>发展改革部门拟定项目备选计划，于6月底前完成下一年度</w:t>
      </w:r>
      <w:r>
        <w:rPr>
          <w:rFonts w:hint="eastAsia" w:ascii="Times New Roman" w:hAnsi="Times New Roman" w:eastAsia="仿宋_GB2312"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lang w:val="en-US" w:eastAsia="zh-CN"/>
        </w:rPr>
        <w:t>的</w:t>
      </w:r>
      <w:r>
        <w:rPr>
          <w:rFonts w:hint="eastAsia" w:ascii="Times New Roman" w:hAnsi="Times New Roman" w:eastAsia="仿宋_GB2312" w:cs="仿宋_GB2312"/>
          <w:b w:val="0"/>
          <w:bCs w:val="0"/>
          <w:color w:val="auto"/>
          <w:sz w:val="32"/>
          <w:szCs w:val="32"/>
          <w:highlight w:val="none"/>
          <w:lang w:eastAsia="zh-CN"/>
        </w:rPr>
        <w:t>可行性研究</w:t>
      </w:r>
      <w:r>
        <w:rPr>
          <w:rFonts w:hint="eastAsia" w:ascii="Times New Roman" w:hAnsi="Times New Roman" w:eastAsia="仿宋_GB2312" w:cs="仿宋_GB2312"/>
          <w:b w:val="0"/>
          <w:bCs w:val="0"/>
          <w:color w:val="auto"/>
          <w:sz w:val="32"/>
          <w:szCs w:val="32"/>
          <w:highlight w:val="none"/>
          <w:lang w:val="en-US" w:eastAsia="zh-CN"/>
        </w:rPr>
        <w:t>报告编制工作</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并履行必要的内部审核程序。</w:t>
      </w:r>
    </w:p>
    <w:p>
      <w:pPr>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项目法人</w:t>
      </w:r>
      <w:r>
        <w:rPr>
          <w:rFonts w:hint="eastAsia" w:ascii="Times New Roman" w:hAnsi="Times New Roman" w:eastAsia="仿宋_GB2312" w:cs="仿宋_GB2312"/>
          <w:b w:val="0"/>
          <w:bCs w:val="0"/>
          <w:color w:val="auto"/>
          <w:sz w:val="32"/>
          <w:szCs w:val="32"/>
          <w:highlight w:val="none"/>
          <w:lang w:val="en-US" w:eastAsia="zh-CN"/>
        </w:rPr>
        <w:t>应</w:t>
      </w:r>
      <w:r>
        <w:rPr>
          <w:rFonts w:hint="eastAsia" w:ascii="Times New Roman" w:hAnsi="Times New Roman" w:eastAsia="仿宋_GB2312" w:cs="仿宋_GB2312"/>
          <w:b w:val="0"/>
          <w:bCs w:val="0"/>
          <w:color w:val="auto"/>
          <w:sz w:val="32"/>
          <w:szCs w:val="32"/>
          <w:highlight w:val="none"/>
          <w:lang w:eastAsia="zh-CN"/>
        </w:rPr>
        <w:t>于</w:t>
      </w:r>
      <w:r>
        <w:rPr>
          <w:rFonts w:hint="eastAsia" w:cs="仿宋_GB2312"/>
          <w:b w:val="0"/>
          <w:bCs w:val="0"/>
          <w:color w:val="auto"/>
          <w:sz w:val="32"/>
          <w:szCs w:val="32"/>
          <w:highlight w:val="none"/>
          <w:lang w:eastAsia="zh-CN"/>
        </w:rPr>
        <w:t>每年</w:t>
      </w:r>
      <w:r>
        <w:rPr>
          <w:rFonts w:hint="eastAsia" w:ascii="Times New Roman" w:hAnsi="Times New Roman" w:eastAsia="仿宋_GB2312" w:cs="仿宋_GB2312"/>
          <w:b w:val="0"/>
          <w:bCs w:val="0"/>
          <w:color w:val="auto"/>
          <w:sz w:val="32"/>
          <w:szCs w:val="32"/>
          <w:highlight w:val="none"/>
          <w:lang w:val="en-US" w:eastAsia="zh-CN"/>
        </w:rPr>
        <w:t>7月10日前或按照省级发展改革委有关工作要求，将下一年度项目可行性研究报告报</w:t>
      </w:r>
      <w:r>
        <w:rPr>
          <w:rFonts w:hint="eastAsia" w:ascii="Times New Roman" w:hAnsi="Times New Roman" w:eastAsia="仿宋_GB2312" w:cs="仿宋_GB2312"/>
          <w:b w:val="0"/>
          <w:bCs w:val="0"/>
          <w:color w:val="auto"/>
          <w:sz w:val="32"/>
          <w:szCs w:val="32"/>
          <w:highlight w:val="none"/>
          <w:lang w:eastAsia="zh-CN"/>
        </w:rPr>
        <w:t>省级发展改革委审批。</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省级发展改革委</w:t>
      </w:r>
      <w:r>
        <w:rPr>
          <w:rFonts w:hint="eastAsia" w:cs="仿宋_GB2312"/>
          <w:b w:val="0"/>
          <w:bCs w:val="0"/>
          <w:color w:val="auto"/>
          <w:sz w:val="32"/>
          <w:szCs w:val="32"/>
          <w:highlight w:val="none"/>
          <w:lang w:val="en-US" w:eastAsia="zh-CN"/>
        </w:rPr>
        <w:t>应组织专家或</w:t>
      </w:r>
      <w:r>
        <w:rPr>
          <w:rFonts w:hint="eastAsia" w:ascii="Times New Roman" w:hAnsi="Times New Roman" w:eastAsia="仿宋_GB2312" w:cs="仿宋_GB2312"/>
          <w:b w:val="0"/>
          <w:bCs w:val="0"/>
          <w:color w:val="auto"/>
          <w:sz w:val="32"/>
          <w:szCs w:val="32"/>
          <w:highlight w:val="none"/>
          <w:lang w:eastAsia="zh-CN"/>
        </w:rPr>
        <w:t>委托有相应能力的工程咨询</w:t>
      </w:r>
      <w:r>
        <w:rPr>
          <w:rFonts w:hint="eastAsia" w:ascii="Times New Roman" w:hAnsi="Times New Roman" w:eastAsia="仿宋_GB2312" w:cs="仿宋_GB2312"/>
          <w:b w:val="0"/>
          <w:bCs w:val="0"/>
          <w:color w:val="auto"/>
          <w:sz w:val="32"/>
          <w:szCs w:val="32"/>
          <w:highlight w:val="none"/>
          <w:lang w:val="en-US" w:eastAsia="zh-CN"/>
        </w:rPr>
        <w:t>单位</w:t>
      </w:r>
      <w:r>
        <w:rPr>
          <w:rFonts w:hint="eastAsia" w:ascii="Times New Roman" w:hAnsi="Times New Roman" w:eastAsia="仿宋_GB2312" w:cs="仿宋_GB2312"/>
          <w:b w:val="0"/>
          <w:bCs w:val="0"/>
          <w:color w:val="auto"/>
          <w:sz w:val="32"/>
          <w:szCs w:val="32"/>
          <w:highlight w:val="none"/>
          <w:lang w:eastAsia="zh-CN"/>
        </w:rPr>
        <w:t>对</w:t>
      </w:r>
      <w:r>
        <w:rPr>
          <w:rFonts w:hint="eastAsia" w:ascii="Times New Roman" w:hAnsi="Times New Roman" w:eastAsia="仿宋_GB2312"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lang w:eastAsia="zh-CN"/>
        </w:rPr>
        <w:t>可行性研究报告进行</w:t>
      </w:r>
      <w:r>
        <w:rPr>
          <w:rFonts w:hint="eastAsia" w:ascii="Times New Roman" w:hAnsi="Times New Roman" w:eastAsia="仿宋_GB2312" w:cs="仿宋_GB2312"/>
          <w:b w:val="0"/>
          <w:bCs w:val="0"/>
          <w:color w:val="auto"/>
          <w:sz w:val="32"/>
          <w:szCs w:val="32"/>
          <w:highlight w:val="none"/>
          <w:lang w:val="en-US" w:eastAsia="zh-CN"/>
        </w:rPr>
        <w:t>评估</w:t>
      </w:r>
      <w:r>
        <w:rPr>
          <w:rFonts w:hint="eastAsia" w:ascii="Times New Roman" w:hAnsi="Times New Roman" w:eastAsia="仿宋_GB2312" w:cs="仿宋_GB2312"/>
          <w:b w:val="0"/>
          <w:bCs w:val="0"/>
          <w:color w:val="auto"/>
          <w:sz w:val="32"/>
          <w:szCs w:val="32"/>
          <w:highlight w:val="none"/>
          <w:lang w:eastAsia="zh-CN"/>
        </w:rPr>
        <w:t>，根据</w:t>
      </w:r>
      <w:r>
        <w:rPr>
          <w:rFonts w:hint="eastAsia" w:ascii="Times New Roman" w:hAnsi="Times New Roman" w:eastAsia="仿宋_GB2312" w:cs="仿宋_GB2312"/>
          <w:b w:val="0"/>
          <w:bCs w:val="0"/>
          <w:color w:val="auto"/>
          <w:sz w:val="32"/>
          <w:szCs w:val="32"/>
          <w:highlight w:val="none"/>
          <w:lang w:val="en-US" w:eastAsia="zh-CN"/>
        </w:rPr>
        <w:t>评估</w:t>
      </w:r>
      <w:r>
        <w:rPr>
          <w:rFonts w:hint="eastAsia" w:ascii="Times New Roman" w:hAnsi="Times New Roman" w:eastAsia="仿宋_GB2312" w:cs="仿宋_GB2312"/>
          <w:b w:val="0"/>
          <w:bCs w:val="0"/>
          <w:color w:val="auto"/>
          <w:sz w:val="32"/>
          <w:szCs w:val="32"/>
          <w:highlight w:val="none"/>
          <w:lang w:eastAsia="zh-CN"/>
        </w:rPr>
        <w:t>意见予以审批并出具批准文件。</w:t>
      </w:r>
      <w:r>
        <w:rPr>
          <w:rFonts w:hint="eastAsia" w:ascii="Times New Roman" w:hAnsi="Times New Roman" w:eastAsia="仿宋_GB2312" w:cs="仿宋_GB2312"/>
          <w:b w:val="0"/>
          <w:bCs w:val="0"/>
          <w:color w:val="auto"/>
          <w:sz w:val="32"/>
          <w:szCs w:val="32"/>
          <w:highlight w:val="none"/>
          <w:lang w:val="en-US" w:eastAsia="zh-CN"/>
        </w:rPr>
        <w:t>于</w:t>
      </w:r>
      <w:r>
        <w:rPr>
          <w:rFonts w:hint="eastAsia" w:cs="仿宋_GB2312"/>
          <w:b w:val="0"/>
          <w:bCs w:val="0"/>
          <w:color w:val="auto"/>
          <w:sz w:val="32"/>
          <w:szCs w:val="32"/>
          <w:highlight w:val="none"/>
          <w:lang w:val="en-US" w:eastAsia="zh-CN"/>
        </w:rPr>
        <w:t>每年</w:t>
      </w:r>
      <w:r>
        <w:rPr>
          <w:rFonts w:hint="eastAsia" w:ascii="Times New Roman" w:hAnsi="Times New Roman" w:eastAsia="仿宋_GB2312" w:cs="仿宋_GB2312"/>
          <w:b w:val="0"/>
          <w:bCs w:val="0"/>
          <w:color w:val="auto"/>
          <w:sz w:val="32"/>
          <w:szCs w:val="32"/>
          <w:highlight w:val="none"/>
          <w:lang w:val="en-US" w:eastAsia="zh-CN"/>
        </w:rPr>
        <w:t>8月底前或按照国家发展改革委、国家能源局有关工作要求，完成下一年度项目的可行性研究报告</w:t>
      </w:r>
      <w:r>
        <w:rPr>
          <w:rFonts w:hint="eastAsia" w:cs="仿宋_GB2312"/>
          <w:b w:val="0"/>
          <w:bCs w:val="0"/>
          <w:color w:val="auto"/>
          <w:sz w:val="32"/>
          <w:szCs w:val="32"/>
          <w:highlight w:val="none"/>
          <w:lang w:val="en-US" w:eastAsia="zh-CN"/>
        </w:rPr>
        <w:t>审批</w:t>
      </w:r>
      <w:r>
        <w:rPr>
          <w:rFonts w:hint="eastAsia" w:ascii="Times New Roman" w:hAnsi="Times New Roman" w:eastAsia="仿宋_GB2312" w:cs="仿宋_GB2312"/>
          <w:b w:val="0"/>
          <w:bCs w:val="0"/>
          <w:color w:val="auto"/>
          <w:sz w:val="32"/>
          <w:szCs w:val="32"/>
          <w:highlight w:val="none"/>
          <w:lang w:val="en-US" w:eastAsia="zh-CN"/>
        </w:rPr>
        <w:t>工作。</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省级发展改革委应根据国家发展改革委关于年度中央预算内投资计划草案编制的工作要求，结合本省（区、市）农村电网巩固提升目标任务</w:t>
      </w:r>
      <w:r>
        <w:rPr>
          <w:rFonts w:hint="eastAsia" w:cs="仿宋_GB2312"/>
          <w:b w:val="0"/>
          <w:bCs w:val="0"/>
          <w:color w:val="auto"/>
          <w:sz w:val="32"/>
          <w:szCs w:val="32"/>
          <w:highlight w:val="none"/>
          <w:lang w:val="en-US" w:eastAsia="zh-CN"/>
        </w:rPr>
        <w:t>和重点任务</w:t>
      </w:r>
      <w:r>
        <w:rPr>
          <w:rFonts w:hint="eastAsia" w:ascii="Times New Roman" w:hAnsi="Times New Roman" w:eastAsia="仿宋_GB2312" w:cs="仿宋_GB2312"/>
          <w:b w:val="0"/>
          <w:bCs w:val="0"/>
          <w:color w:val="auto"/>
          <w:sz w:val="32"/>
          <w:szCs w:val="32"/>
          <w:highlight w:val="none"/>
          <w:lang w:val="en-US" w:eastAsia="zh-CN"/>
        </w:rPr>
        <w:t>等，选取已审批的项目形成农村电网巩固提升工程年度中央预算内投资计划草案，报送国家发展改革委、抄送国家能源局，</w:t>
      </w:r>
      <w:r>
        <w:rPr>
          <w:rFonts w:hint="eastAsia" w:ascii="Times New Roman" w:hAnsi="Times New Roman" w:eastAsia="仿宋_GB2312" w:cs="仿宋_GB2312"/>
          <w:b w:val="0"/>
          <w:bCs w:val="0"/>
          <w:color w:val="auto"/>
          <w:sz w:val="32"/>
          <w:szCs w:val="32"/>
          <w:highlight w:val="none"/>
          <w:lang w:eastAsia="zh-CN"/>
        </w:rPr>
        <w:t>随附</w:t>
      </w:r>
      <w:r>
        <w:rPr>
          <w:rFonts w:hint="eastAsia" w:ascii="Times New Roman" w:hAnsi="Times New Roman" w:eastAsia="仿宋_GB2312"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lang w:eastAsia="zh-CN"/>
        </w:rPr>
        <w:t>可行性研究报告批复文件。</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完成可行性研究报告批复、当年未纳入中央预算内投资计划的项目，可于下一年度继续申请中央预算内投资，或</w:t>
      </w:r>
      <w:r>
        <w:rPr>
          <w:rFonts w:hint="eastAsia" w:ascii="Times New Roman" w:hAnsi="Times New Roman" w:eastAsia="仿宋_GB2312" w:cs="仿宋_GB2312"/>
          <w:b w:val="0"/>
          <w:bCs w:val="0"/>
          <w:color w:val="auto"/>
          <w:sz w:val="32"/>
          <w:szCs w:val="32"/>
          <w:highlight w:val="none"/>
          <w:lang w:val="en-US" w:eastAsia="zh-CN"/>
        </w:rPr>
        <w:t>由</w:t>
      </w:r>
      <w:r>
        <w:rPr>
          <w:rFonts w:hint="eastAsia" w:ascii="Times New Roman" w:hAnsi="Times New Roman" w:eastAsia="仿宋_GB2312" w:cs="仿宋_GB2312"/>
          <w:b w:val="0"/>
          <w:bCs w:val="0"/>
          <w:color w:val="auto"/>
          <w:sz w:val="32"/>
          <w:szCs w:val="32"/>
          <w:highlight w:val="none"/>
          <w:lang w:eastAsia="zh-CN"/>
        </w:rPr>
        <w:t>项目法人</w:t>
      </w:r>
      <w:r>
        <w:rPr>
          <w:rFonts w:hint="eastAsia" w:ascii="Times New Roman" w:hAnsi="Times New Roman" w:eastAsia="仿宋_GB2312" w:cs="仿宋_GB2312"/>
          <w:b w:val="0"/>
          <w:bCs w:val="0"/>
          <w:color w:val="auto"/>
          <w:sz w:val="32"/>
          <w:szCs w:val="32"/>
          <w:highlight w:val="none"/>
          <w:lang w:val="en-US" w:eastAsia="zh-CN"/>
        </w:rPr>
        <w:t>依据可行性研究报告批复文件通过</w:t>
      </w:r>
      <w:r>
        <w:rPr>
          <w:rFonts w:hint="eastAsia" w:ascii="Times New Roman" w:hAnsi="Times New Roman" w:eastAsia="仿宋_GB2312" w:cs="仿宋_GB2312"/>
          <w:b w:val="0"/>
          <w:bCs w:val="0"/>
          <w:color w:val="auto"/>
          <w:sz w:val="32"/>
          <w:szCs w:val="32"/>
          <w:highlight w:val="none"/>
          <w:lang w:eastAsia="zh-CN"/>
        </w:rPr>
        <w:t>自筹资金等</w:t>
      </w:r>
      <w:r>
        <w:rPr>
          <w:rFonts w:hint="eastAsia" w:ascii="Times New Roman" w:hAnsi="Times New Roman" w:eastAsia="仿宋_GB2312" w:cs="仿宋_GB2312"/>
          <w:b w:val="0"/>
          <w:bCs w:val="0"/>
          <w:color w:val="auto"/>
          <w:sz w:val="32"/>
          <w:szCs w:val="32"/>
          <w:highlight w:val="none"/>
          <w:lang w:val="en-US" w:eastAsia="zh-CN"/>
        </w:rPr>
        <w:t>方式组织</w:t>
      </w:r>
      <w:r>
        <w:rPr>
          <w:rFonts w:hint="eastAsia" w:ascii="Times New Roman" w:hAnsi="Times New Roman" w:eastAsia="仿宋_GB2312" w:cs="仿宋_GB2312"/>
          <w:b w:val="0"/>
          <w:bCs w:val="0"/>
          <w:color w:val="auto"/>
          <w:sz w:val="32"/>
          <w:szCs w:val="32"/>
          <w:highlight w:val="none"/>
          <w:lang w:eastAsia="zh-CN"/>
        </w:rPr>
        <w:t>实施。</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国家发展改革委、</w:t>
      </w:r>
      <w:r>
        <w:rPr>
          <w:rFonts w:hint="eastAsia" w:ascii="Times New Roman" w:hAnsi="Times New Roman" w:eastAsia="仿宋_GB2312" w:cs="仿宋_GB2312"/>
          <w:b w:val="0"/>
          <w:bCs w:val="0"/>
          <w:color w:val="auto"/>
          <w:sz w:val="32"/>
          <w:szCs w:val="32"/>
          <w:highlight w:val="none"/>
          <w:lang w:val="en-US" w:eastAsia="zh-CN"/>
        </w:rPr>
        <w:t>国家能源局</w:t>
      </w:r>
      <w:r>
        <w:rPr>
          <w:rFonts w:hint="eastAsia" w:cs="仿宋_GB2312"/>
          <w:b w:val="0"/>
          <w:bCs w:val="0"/>
          <w:color w:val="auto"/>
          <w:sz w:val="32"/>
          <w:szCs w:val="32"/>
          <w:highlight w:val="none"/>
          <w:lang w:val="en-US" w:eastAsia="zh-CN"/>
        </w:rPr>
        <w:t>在项目可行性研究报告抽查复核中发现存在严重</w:t>
      </w:r>
      <w:r>
        <w:rPr>
          <w:rFonts w:hint="eastAsia" w:ascii="Times New Roman" w:hAnsi="Times New Roman" w:eastAsia="仿宋_GB2312" w:cs="仿宋_GB2312"/>
          <w:b w:val="0"/>
          <w:bCs w:val="0"/>
          <w:color w:val="auto"/>
          <w:sz w:val="32"/>
          <w:szCs w:val="32"/>
          <w:highlight w:val="none"/>
          <w:lang w:val="en-US" w:eastAsia="zh-CN"/>
        </w:rPr>
        <w:t>问题</w:t>
      </w:r>
      <w:r>
        <w:rPr>
          <w:rFonts w:hint="eastAsia" w:cs="仿宋_GB2312"/>
          <w:b w:val="0"/>
          <w:bCs w:val="0"/>
          <w:color w:val="auto"/>
          <w:sz w:val="32"/>
          <w:szCs w:val="32"/>
          <w:highlight w:val="none"/>
          <w:lang w:val="en-US" w:eastAsia="zh-CN"/>
        </w:rPr>
        <w:t>的</w:t>
      </w:r>
      <w:r>
        <w:rPr>
          <w:rFonts w:hint="eastAsia" w:ascii="Times New Roman" w:hAnsi="Times New Roman" w:eastAsia="仿宋_GB2312" w:cs="仿宋_GB2312"/>
          <w:b w:val="0"/>
          <w:bCs w:val="0"/>
          <w:color w:val="auto"/>
          <w:sz w:val="32"/>
          <w:szCs w:val="32"/>
          <w:highlight w:val="none"/>
          <w:lang w:val="en-US" w:eastAsia="zh-CN"/>
        </w:rPr>
        <w:t>，</w:t>
      </w:r>
      <w:r>
        <w:rPr>
          <w:rFonts w:hint="eastAsia" w:cs="仿宋_GB2312"/>
          <w:b w:val="0"/>
          <w:bCs w:val="0"/>
          <w:color w:val="auto"/>
          <w:sz w:val="32"/>
          <w:szCs w:val="32"/>
          <w:highlight w:val="none"/>
          <w:lang w:val="en-US" w:eastAsia="zh-CN"/>
        </w:rPr>
        <w:t>应要求</w:t>
      </w:r>
      <w:r>
        <w:rPr>
          <w:rFonts w:hint="eastAsia" w:ascii="Times New Roman" w:hAnsi="Times New Roman" w:eastAsia="仿宋_GB2312" w:cs="仿宋_GB2312"/>
          <w:b w:val="0"/>
          <w:bCs w:val="0"/>
          <w:color w:val="auto"/>
          <w:sz w:val="32"/>
          <w:szCs w:val="32"/>
          <w:highlight w:val="none"/>
          <w:lang w:eastAsia="zh-CN"/>
        </w:rPr>
        <w:t>省级发展改革委</w:t>
      </w:r>
      <w:r>
        <w:rPr>
          <w:rFonts w:hint="eastAsia" w:cs="仿宋_GB2312"/>
          <w:b w:val="0"/>
          <w:bCs w:val="0"/>
          <w:color w:val="auto"/>
          <w:sz w:val="32"/>
          <w:szCs w:val="32"/>
          <w:highlight w:val="none"/>
          <w:lang w:eastAsia="zh-CN"/>
        </w:rPr>
        <w:t>（能源局）</w:t>
      </w:r>
      <w:r>
        <w:rPr>
          <w:rFonts w:hint="eastAsia" w:cs="仿宋_GB2312"/>
          <w:b w:val="0"/>
          <w:bCs w:val="0"/>
          <w:color w:val="auto"/>
          <w:sz w:val="32"/>
          <w:szCs w:val="32"/>
          <w:highlight w:val="none"/>
          <w:lang w:val="en-US" w:eastAsia="zh-CN"/>
        </w:rPr>
        <w:t>重新组织编制、审批和报送项目可行性研究报告，情节特别严重的可</w:t>
      </w:r>
      <w:r>
        <w:rPr>
          <w:rFonts w:hint="eastAsia" w:ascii="Times New Roman" w:hAnsi="Times New Roman" w:eastAsia="仿宋_GB2312" w:cs="仿宋_GB2312"/>
          <w:b w:val="0"/>
          <w:bCs w:val="0"/>
          <w:color w:val="auto"/>
          <w:sz w:val="32"/>
          <w:szCs w:val="32"/>
          <w:highlight w:val="none"/>
          <w:lang w:val="en-US" w:eastAsia="zh-CN"/>
        </w:rPr>
        <w:t>取消年度投资计划。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b w:val="0"/>
          <w:bCs w:val="0"/>
          <w:color w:val="auto"/>
          <w:sz w:val="32"/>
          <w:szCs w:val="32"/>
          <w:highlight w:val="none"/>
          <w:lang w:eastAsia="zh-CN"/>
        </w:rPr>
      </w:pP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val="0"/>
        <w:spacing w:line="560" w:lineRule="exact"/>
        <w:ind w:firstLine="402" w:firstLineChars="0"/>
        <w:jc w:val="center"/>
        <w:textAlignment w:val="auto"/>
        <w:outlineLvl w:val="0"/>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lang w:val="en-US" w:eastAsia="zh-CN"/>
        </w:rPr>
        <w:t>项目可行性研究报告编制要求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黑体"/>
          <w:b w:val="0"/>
          <w:bCs w:val="0"/>
          <w:color w:val="auto"/>
          <w:sz w:val="32"/>
          <w:szCs w:val="32"/>
          <w:highlight w:val="none"/>
        </w:rPr>
      </w:pP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项目法人开展可行性研究应遵循国家法律法规和行业相关规程规范，对项目建设条件进行调查和必要勘测，对项目建设的技术、经济、环境、节能、施工及运行管理等进行分析论证和方案比较，</w:t>
      </w:r>
      <w:r>
        <w:rPr>
          <w:rFonts w:hint="eastAsia" w:cs="仿宋_GB2312"/>
          <w:b w:val="0"/>
          <w:bCs w:val="0"/>
          <w:color w:val="auto"/>
          <w:sz w:val="32"/>
          <w:szCs w:val="32"/>
          <w:highlight w:val="none"/>
          <w:lang w:eastAsia="zh-CN"/>
        </w:rPr>
        <w:t>科学</w:t>
      </w:r>
      <w:r>
        <w:rPr>
          <w:rFonts w:hint="eastAsia" w:ascii="Times New Roman" w:hAnsi="Times New Roman" w:eastAsia="仿宋_GB2312" w:cs="仿宋_GB2312"/>
          <w:b w:val="0"/>
          <w:bCs w:val="0"/>
          <w:color w:val="auto"/>
          <w:sz w:val="32"/>
          <w:szCs w:val="32"/>
          <w:highlight w:val="none"/>
        </w:rPr>
        <w:t>编制可行性研究报告。鼓励有条件的地区实行可行性研究、初步设计一体化管理模式。</w:t>
      </w:r>
      <w:r>
        <w:rPr>
          <w:rFonts w:hint="eastAsia" w:cs="仿宋_GB2312"/>
          <w:b w:val="0"/>
          <w:bCs w:val="0"/>
          <w:color w:val="auto"/>
          <w:sz w:val="32"/>
          <w:szCs w:val="32"/>
          <w:highlight w:val="none"/>
          <w:lang w:val="en-US" w:eastAsia="zh-CN"/>
        </w:rPr>
        <w:t>主要</w:t>
      </w:r>
      <w:r>
        <w:rPr>
          <w:rFonts w:hint="eastAsia" w:ascii="Times New Roman" w:hAnsi="Times New Roman" w:eastAsia="仿宋_GB2312" w:cs="仿宋_GB2312"/>
          <w:b w:val="0"/>
          <w:bCs w:val="0"/>
          <w:color w:val="auto"/>
          <w:sz w:val="32"/>
          <w:szCs w:val="32"/>
          <w:highlight w:val="none"/>
          <w:lang w:val="en-US" w:eastAsia="zh-CN"/>
        </w:rPr>
        <w:t>要求如下：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一</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35千伏及以上电压等级</w:t>
      </w:r>
      <w:r>
        <w:rPr>
          <w:rFonts w:hint="eastAsia"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rPr>
        <w:t>以单个项目、35千伏以下电压等级</w:t>
      </w:r>
      <w:r>
        <w:rPr>
          <w:rFonts w:hint="eastAsia"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rPr>
        <w:t>以</w:t>
      </w:r>
      <w:r>
        <w:rPr>
          <w:rFonts w:hint="eastAsia" w:cs="仿宋_GB2312"/>
          <w:b w:val="0"/>
          <w:bCs w:val="0"/>
          <w:color w:val="auto"/>
          <w:sz w:val="32"/>
          <w:szCs w:val="32"/>
          <w:highlight w:val="none"/>
          <w:lang w:eastAsia="zh-CN"/>
        </w:rPr>
        <w:t>县域</w:t>
      </w:r>
      <w:r>
        <w:rPr>
          <w:rFonts w:hint="eastAsia" w:ascii="Times New Roman" w:hAnsi="Times New Roman" w:eastAsia="仿宋_GB2312" w:cs="仿宋_GB2312"/>
          <w:b w:val="0"/>
          <w:bCs w:val="0"/>
          <w:color w:val="auto"/>
          <w:sz w:val="32"/>
          <w:szCs w:val="32"/>
          <w:highlight w:val="none"/>
        </w:rPr>
        <w:t>为单位编制项目可行性研究报告</w:t>
      </w:r>
      <w:r>
        <w:rPr>
          <w:rFonts w:hint="eastAsia" w:cs="仿宋_GB2312"/>
          <w:b w:val="0"/>
          <w:bCs w:val="0"/>
          <w:color w:val="auto"/>
          <w:sz w:val="32"/>
          <w:szCs w:val="32"/>
          <w:highlight w:val="none"/>
          <w:lang w:eastAsia="zh-CN"/>
        </w:rPr>
        <w:t>，可再生能源局域网项目综合考虑项目建设规模、涉及地区等因素统筹确定可行性研究报告编制方式</w:t>
      </w:r>
      <w:r>
        <w:rPr>
          <w:rFonts w:hint="eastAsia" w:ascii="Times New Roman" w:hAnsi="Times New Roman" w:eastAsia="仿宋_GB2312" w:cs="仿宋_GB2312"/>
          <w:b w:val="0"/>
          <w:bCs w:val="0"/>
          <w:color w:val="auto"/>
          <w:sz w:val="32"/>
          <w:szCs w:val="32"/>
          <w:highlight w:val="none"/>
        </w:rPr>
        <w:t>。对技术方案简单、投资规模较小的</w:t>
      </w:r>
      <w:r>
        <w:rPr>
          <w:rFonts w:hint="eastAsia" w:cs="仿宋_GB2312"/>
          <w:b w:val="0"/>
          <w:bCs w:val="0"/>
          <w:color w:val="auto"/>
          <w:sz w:val="32"/>
          <w:szCs w:val="32"/>
          <w:highlight w:val="none"/>
          <w:lang w:eastAsia="zh-CN"/>
        </w:rPr>
        <w:t>同一县域内</w:t>
      </w:r>
      <w:r>
        <w:rPr>
          <w:rFonts w:hint="eastAsia" w:ascii="Times New Roman" w:hAnsi="Times New Roman" w:eastAsia="仿宋_GB2312" w:cs="仿宋_GB2312"/>
          <w:b w:val="0"/>
          <w:bCs w:val="0"/>
          <w:color w:val="auto"/>
          <w:sz w:val="32"/>
          <w:szCs w:val="32"/>
          <w:highlight w:val="none"/>
        </w:rPr>
        <w:t>35千伏电压等级改造项目，经省级发展改革委同意，可合并编制可行性研究报告</w:t>
      </w:r>
      <w:r>
        <w:rPr>
          <w:rFonts w:hint="eastAsia" w:cs="仿宋_GB2312"/>
          <w:b w:val="0"/>
          <w:bCs w:val="0"/>
          <w:color w:val="auto"/>
          <w:sz w:val="32"/>
          <w:szCs w:val="32"/>
          <w:highlight w:val="none"/>
          <w:lang w:eastAsia="zh-CN"/>
        </w:rPr>
        <w:t>，并作为单个项目计列</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项目可行性研究报告应由具备相应能力的工程咨询单位编制</w:t>
      </w:r>
      <w:r>
        <w:rPr>
          <w:rFonts w:hint="eastAsia" w:cs="仿宋_GB2312"/>
          <w:b w:val="0"/>
          <w:bCs w:val="0"/>
          <w:color w:val="auto"/>
          <w:sz w:val="32"/>
          <w:szCs w:val="32"/>
          <w:highlight w:val="none"/>
          <w:lang w:eastAsia="zh-CN"/>
        </w:rPr>
        <w:t>，并</w:t>
      </w:r>
      <w:r>
        <w:rPr>
          <w:rFonts w:hint="eastAsia" w:ascii="Times New Roman" w:hAnsi="Times New Roman" w:eastAsia="仿宋_GB2312" w:cs="仿宋_GB2312"/>
          <w:b w:val="0"/>
          <w:bCs w:val="0"/>
          <w:color w:val="auto"/>
          <w:sz w:val="32"/>
          <w:szCs w:val="32"/>
          <w:highlight w:val="none"/>
        </w:rPr>
        <w:t>加盖工程咨询单位公章和咨询工程师（投资）执业专用章</w:t>
      </w:r>
      <w:r>
        <w:rPr>
          <w:rFonts w:hint="eastAsia" w:ascii="Times New Roman" w:hAnsi="Times New Roman"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工程咨询单位</w:t>
      </w:r>
      <w:r>
        <w:rPr>
          <w:rFonts w:hint="eastAsia" w:cs="仿宋_GB2312"/>
          <w:b w:val="0"/>
          <w:bCs w:val="0"/>
          <w:color w:val="auto"/>
          <w:sz w:val="32"/>
          <w:szCs w:val="32"/>
          <w:highlight w:val="none"/>
          <w:lang w:eastAsia="zh-CN"/>
        </w:rPr>
        <w:t>应</w:t>
      </w:r>
      <w:r>
        <w:rPr>
          <w:rFonts w:hint="eastAsia" w:ascii="Times New Roman" w:hAnsi="Times New Roman" w:eastAsia="仿宋_GB2312" w:cs="仿宋_GB2312"/>
          <w:b w:val="0"/>
          <w:bCs w:val="0"/>
          <w:color w:val="auto"/>
          <w:sz w:val="32"/>
          <w:szCs w:val="32"/>
          <w:highlight w:val="none"/>
        </w:rPr>
        <w:t>通过全国投资项目在线审批监管平台备案基本信息</w:t>
      </w:r>
      <w:r>
        <w:rPr>
          <w:rFonts w:hint="eastAsia" w:cs="仿宋_GB2312"/>
          <w:b w:val="0"/>
          <w:bCs w:val="0"/>
          <w:color w:val="auto"/>
          <w:sz w:val="32"/>
          <w:szCs w:val="32"/>
          <w:highlight w:val="none"/>
          <w:lang w:eastAsia="zh-CN"/>
        </w:rPr>
        <w:t>，并</w:t>
      </w:r>
      <w:r>
        <w:rPr>
          <w:rFonts w:hint="eastAsia" w:ascii="Times New Roman" w:hAnsi="Times New Roman" w:eastAsia="仿宋_GB2312" w:cs="仿宋_GB2312"/>
          <w:b w:val="0"/>
          <w:bCs w:val="0"/>
          <w:color w:val="auto"/>
          <w:sz w:val="32"/>
          <w:szCs w:val="32"/>
          <w:highlight w:val="none"/>
        </w:rPr>
        <w:t>对</w:t>
      </w:r>
      <w:r>
        <w:rPr>
          <w:rFonts w:hint="eastAsia"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rPr>
        <w:t>可行性研究报告质量负总责。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三</w:t>
      </w: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编制可行性研究报告</w:t>
      </w:r>
      <w:r>
        <w:rPr>
          <w:rFonts w:hint="eastAsia" w:ascii="Times New Roman" w:hAnsi="Times New Roman" w:eastAsia="仿宋_GB2312" w:cs="仿宋_GB2312"/>
          <w:b w:val="0"/>
          <w:bCs w:val="0"/>
          <w:color w:val="auto"/>
          <w:sz w:val="32"/>
          <w:szCs w:val="32"/>
          <w:highlight w:val="none"/>
        </w:rPr>
        <w:t>应结合区域发展规划，充分考虑城镇、乡村等不同类别区域</w:t>
      </w:r>
      <w:r>
        <w:rPr>
          <w:rFonts w:hint="eastAsia" w:cs="仿宋_GB2312"/>
          <w:b w:val="0"/>
          <w:bCs w:val="0"/>
          <w:color w:val="auto"/>
          <w:sz w:val="32"/>
          <w:szCs w:val="32"/>
          <w:highlight w:val="none"/>
          <w:lang w:eastAsia="zh-CN"/>
        </w:rPr>
        <w:t>不同季节的</w:t>
      </w:r>
      <w:r>
        <w:rPr>
          <w:rFonts w:hint="eastAsia" w:ascii="Times New Roman" w:hAnsi="Times New Roman" w:eastAsia="仿宋_GB2312" w:cs="仿宋_GB2312"/>
          <w:b w:val="0"/>
          <w:bCs w:val="0"/>
          <w:color w:val="auto"/>
          <w:sz w:val="32"/>
          <w:szCs w:val="32"/>
          <w:highlight w:val="none"/>
        </w:rPr>
        <w:t>负荷特点</w:t>
      </w:r>
      <w:r>
        <w:rPr>
          <w:rFonts w:hint="eastAsia"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供电</w:t>
      </w:r>
      <w:r>
        <w:rPr>
          <w:rFonts w:hint="eastAsia" w:cs="仿宋_GB2312"/>
          <w:b w:val="0"/>
          <w:bCs w:val="0"/>
          <w:color w:val="auto"/>
          <w:sz w:val="32"/>
          <w:szCs w:val="32"/>
          <w:highlight w:val="none"/>
          <w:lang w:eastAsia="zh-CN"/>
        </w:rPr>
        <w:t>能力和供电质量</w:t>
      </w:r>
      <w:r>
        <w:rPr>
          <w:rFonts w:hint="eastAsia" w:ascii="Times New Roman" w:hAnsi="Times New Roman" w:eastAsia="仿宋_GB2312" w:cs="仿宋_GB2312"/>
          <w:b w:val="0"/>
          <w:bCs w:val="0"/>
          <w:color w:val="auto"/>
          <w:sz w:val="32"/>
          <w:szCs w:val="32"/>
          <w:highlight w:val="none"/>
        </w:rPr>
        <w:t>要求，</w:t>
      </w:r>
      <w:r>
        <w:rPr>
          <w:rFonts w:hint="eastAsia" w:cs="仿宋_GB2312"/>
          <w:b w:val="0"/>
          <w:bCs w:val="0"/>
          <w:color w:val="auto"/>
          <w:sz w:val="32"/>
          <w:szCs w:val="32"/>
          <w:highlight w:val="none"/>
          <w:lang w:eastAsia="zh-CN"/>
        </w:rPr>
        <w:t>因地制宜</w:t>
      </w:r>
      <w:r>
        <w:rPr>
          <w:rFonts w:hint="eastAsia" w:ascii="Times New Roman" w:hAnsi="Times New Roman" w:eastAsia="仿宋_GB2312" w:cs="仿宋_GB2312"/>
          <w:b w:val="0"/>
          <w:bCs w:val="0"/>
          <w:color w:val="auto"/>
          <w:sz w:val="32"/>
          <w:szCs w:val="32"/>
          <w:highlight w:val="none"/>
        </w:rPr>
        <w:t>合理选择技术方案。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四</w:t>
      </w: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可行性研究报告应</w:t>
      </w:r>
      <w:r>
        <w:rPr>
          <w:rFonts w:hint="eastAsia" w:ascii="Times New Roman" w:hAnsi="Times New Roman" w:eastAsia="仿宋_GB2312" w:cs="仿宋_GB2312"/>
          <w:b w:val="0"/>
          <w:bCs w:val="0"/>
          <w:color w:val="auto"/>
          <w:sz w:val="32"/>
          <w:szCs w:val="32"/>
          <w:highlight w:val="none"/>
        </w:rPr>
        <w:t>优先采用典型供电模式、典型设计和通用造价，推进农村电网装备标准化。对于特殊地段、自然灾害频发地区</w:t>
      </w:r>
      <w:r>
        <w:rPr>
          <w:rFonts w:hint="eastAsia" w:cs="仿宋_GB2312"/>
          <w:b w:val="0"/>
          <w:bCs w:val="0"/>
          <w:color w:val="auto"/>
          <w:sz w:val="32"/>
          <w:szCs w:val="32"/>
          <w:highlight w:val="none"/>
          <w:lang w:eastAsia="zh-CN"/>
        </w:rPr>
        <w:t>以及具有高危和重要用户的线路、重要联络线路</w:t>
      </w:r>
      <w:r>
        <w:rPr>
          <w:rFonts w:hint="eastAsia" w:ascii="Times New Roman" w:hAnsi="Times New Roman" w:eastAsia="仿宋_GB2312" w:cs="仿宋_GB2312"/>
          <w:b w:val="0"/>
          <w:bCs w:val="0"/>
          <w:color w:val="auto"/>
          <w:sz w:val="32"/>
          <w:szCs w:val="32"/>
          <w:highlight w:val="none"/>
        </w:rPr>
        <w:t>等，可实行差异化设计，提高农村电网抵御自然灾害的能力。</w:t>
      </w:r>
      <w:r>
        <w:rPr>
          <w:rFonts w:hint="eastAsia" w:cs="仿宋_GB2312"/>
          <w:b w:val="0"/>
          <w:bCs w:val="0"/>
          <w:color w:val="auto"/>
          <w:sz w:val="32"/>
          <w:szCs w:val="32"/>
          <w:highlight w:val="none"/>
          <w:lang w:eastAsia="zh-CN"/>
        </w:rPr>
        <w:t>对</w:t>
      </w:r>
      <w:r>
        <w:rPr>
          <w:rFonts w:hint="eastAsia" w:ascii="Times New Roman" w:hAnsi="Times New Roman" w:eastAsia="仿宋_GB2312" w:cs="仿宋_GB2312"/>
          <w:b w:val="0"/>
          <w:bCs w:val="0"/>
          <w:color w:val="auto"/>
          <w:sz w:val="32"/>
          <w:szCs w:val="32"/>
          <w:highlight w:val="none"/>
        </w:rPr>
        <w:t>拟拆除设备</w:t>
      </w:r>
      <w:r>
        <w:rPr>
          <w:rFonts w:hint="eastAsia" w:cs="仿宋_GB2312"/>
          <w:b w:val="0"/>
          <w:bCs w:val="0"/>
          <w:color w:val="auto"/>
          <w:sz w:val="32"/>
          <w:szCs w:val="32"/>
          <w:highlight w:val="none"/>
          <w:lang w:eastAsia="zh-CN"/>
        </w:rPr>
        <w:t>，应明确</w:t>
      </w:r>
      <w:r>
        <w:rPr>
          <w:rFonts w:hint="eastAsia" w:ascii="Times New Roman" w:hAnsi="Times New Roman" w:eastAsia="仿宋_GB2312" w:cs="仿宋_GB2312"/>
          <w:b w:val="0"/>
          <w:bCs w:val="0"/>
          <w:color w:val="auto"/>
          <w:sz w:val="32"/>
          <w:szCs w:val="32"/>
          <w:highlight w:val="none"/>
        </w:rPr>
        <w:t>资产再利用</w:t>
      </w:r>
      <w:r>
        <w:rPr>
          <w:rFonts w:hint="eastAsia" w:cs="仿宋_GB2312"/>
          <w:b w:val="0"/>
          <w:bCs w:val="0"/>
          <w:color w:val="auto"/>
          <w:sz w:val="32"/>
          <w:szCs w:val="32"/>
          <w:highlight w:val="none"/>
          <w:lang w:eastAsia="zh-CN"/>
        </w:rPr>
        <w:t>或</w:t>
      </w:r>
      <w:r>
        <w:rPr>
          <w:rFonts w:hint="eastAsia" w:ascii="Times New Roman" w:hAnsi="Times New Roman" w:eastAsia="仿宋_GB2312" w:cs="仿宋_GB2312"/>
          <w:b w:val="0"/>
          <w:bCs w:val="0"/>
          <w:color w:val="auto"/>
          <w:sz w:val="32"/>
          <w:szCs w:val="32"/>
          <w:highlight w:val="none"/>
        </w:rPr>
        <w:t>报废</w:t>
      </w:r>
      <w:r>
        <w:rPr>
          <w:rFonts w:hint="eastAsia" w:cs="仿宋_GB2312"/>
          <w:b w:val="0"/>
          <w:bCs w:val="0"/>
          <w:color w:val="auto"/>
          <w:sz w:val="32"/>
          <w:szCs w:val="32"/>
          <w:highlight w:val="none"/>
          <w:lang w:eastAsia="zh-CN"/>
        </w:rPr>
        <w:t>处置</w:t>
      </w:r>
      <w:r>
        <w:rPr>
          <w:rFonts w:hint="eastAsia" w:ascii="Times New Roman" w:hAnsi="Times New Roman" w:eastAsia="仿宋_GB2312" w:cs="仿宋_GB2312"/>
          <w:b w:val="0"/>
          <w:bCs w:val="0"/>
          <w:color w:val="auto"/>
          <w:sz w:val="32"/>
          <w:szCs w:val="32"/>
          <w:highlight w:val="none"/>
        </w:rPr>
        <w:t>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五</w:t>
      </w: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rPr>
        <w:t>投资估算</w:t>
      </w:r>
      <w:r>
        <w:rPr>
          <w:rFonts w:hint="eastAsia" w:cs="仿宋_GB2312"/>
          <w:b w:val="0"/>
          <w:bCs w:val="0"/>
          <w:color w:val="auto"/>
          <w:sz w:val="32"/>
          <w:szCs w:val="32"/>
          <w:highlight w:val="none"/>
          <w:lang w:eastAsia="zh-CN"/>
        </w:rPr>
        <w:t>应依据国家颁布的投资估算编制办法和指标进行编制，</w:t>
      </w:r>
      <w:r>
        <w:rPr>
          <w:rFonts w:hint="eastAsia" w:ascii="Times New Roman" w:hAnsi="Times New Roman" w:eastAsia="仿宋_GB2312" w:cs="仿宋_GB2312"/>
          <w:b w:val="0"/>
          <w:bCs w:val="0"/>
          <w:color w:val="auto"/>
          <w:sz w:val="32"/>
          <w:szCs w:val="32"/>
          <w:highlight w:val="none"/>
        </w:rPr>
        <w:t>说明估算方法和编制依据，提供投资估算书。</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项目可行性研究报告的主要内容应包括：</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（一）概述。介绍项目概况、</w:t>
      </w:r>
      <w:r>
        <w:rPr>
          <w:rFonts w:hint="eastAsia" w:ascii="Times New Roman" w:hAnsi="Times New Roman" w:cs="Times New Roman"/>
          <w:color w:val="auto"/>
          <w:kern w:val="2"/>
          <w:sz w:val="32"/>
          <w:szCs w:val="32"/>
          <w:lang w:val="en-US" w:eastAsia="zh-CN" w:bidi="ar-SA"/>
        </w:rPr>
        <w:t>项目单位</w:t>
      </w:r>
      <w:r>
        <w:rPr>
          <w:rFonts w:hint="eastAsia" w:ascii="Times New Roman" w:hAnsi="Times New Roman" w:eastAsia="仿宋_GB2312" w:cs="Times New Roman"/>
          <w:color w:val="auto"/>
          <w:kern w:val="2"/>
          <w:sz w:val="32"/>
          <w:szCs w:val="32"/>
          <w:lang w:val="en-US" w:eastAsia="zh-CN" w:bidi="ar-SA"/>
        </w:rPr>
        <w:t>概况、项目可行性研究报告编制依据</w:t>
      </w:r>
      <w:r>
        <w:rPr>
          <w:rFonts w:hint="eastAsia"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主要结论和建议等。</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（二）项目建设背景和必要性。阐述项目建设背景、建设必要性</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政策符合性等。</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（三）项目需求分析与</w:t>
      </w:r>
      <w:r>
        <w:rPr>
          <w:rFonts w:hint="eastAsia" w:cs="Times New Roman"/>
          <w:color w:val="auto"/>
          <w:kern w:val="2"/>
          <w:sz w:val="32"/>
          <w:szCs w:val="32"/>
          <w:lang w:val="en-US" w:eastAsia="zh-CN" w:bidi="ar-SA"/>
        </w:rPr>
        <w:t>预期产出</w:t>
      </w:r>
      <w:r>
        <w:rPr>
          <w:rFonts w:hint="eastAsia"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在详细分析项目</w:t>
      </w:r>
      <w:r>
        <w:rPr>
          <w:rFonts w:hint="eastAsia" w:ascii="Times New Roman" w:hAnsi="Times New Roman" w:cs="Times New Roman"/>
          <w:color w:val="auto"/>
          <w:kern w:val="2"/>
          <w:sz w:val="32"/>
          <w:szCs w:val="32"/>
          <w:lang w:val="en-US" w:eastAsia="zh-CN" w:bidi="ar-SA"/>
        </w:rPr>
        <w:t>所在地的农</w:t>
      </w:r>
      <w:r>
        <w:rPr>
          <w:rFonts w:hint="eastAsia" w:cs="Times New Roman"/>
          <w:color w:val="auto"/>
          <w:kern w:val="2"/>
          <w:sz w:val="32"/>
          <w:szCs w:val="32"/>
          <w:lang w:val="en-US" w:eastAsia="zh-CN" w:bidi="ar-SA"/>
        </w:rPr>
        <w:t>村电</w:t>
      </w:r>
      <w:r>
        <w:rPr>
          <w:rFonts w:hint="eastAsia" w:ascii="Times New Roman" w:hAnsi="Times New Roman" w:cs="Times New Roman"/>
          <w:color w:val="auto"/>
          <w:kern w:val="2"/>
          <w:sz w:val="32"/>
          <w:szCs w:val="32"/>
          <w:lang w:val="en-US" w:eastAsia="zh-CN" w:bidi="ar-SA"/>
        </w:rPr>
        <w:t>网现状、负荷发展情况及存在问题</w:t>
      </w:r>
      <w:r>
        <w:rPr>
          <w:rFonts w:hint="eastAsia" w:cs="Times New Roman"/>
          <w:color w:val="auto"/>
          <w:kern w:val="2"/>
          <w:sz w:val="32"/>
          <w:szCs w:val="32"/>
          <w:lang w:val="en-US" w:eastAsia="zh-CN" w:bidi="ar-SA"/>
        </w:rPr>
        <w:t>的基础上</w:t>
      </w:r>
      <w:r>
        <w:rPr>
          <w:rFonts w:hint="eastAsia" w:ascii="Times New Roman" w:hAnsi="Times New Roman" w:cs="Times New Roman"/>
          <w:color w:val="auto"/>
          <w:kern w:val="2"/>
          <w:sz w:val="32"/>
          <w:szCs w:val="32"/>
          <w:lang w:val="en-US" w:eastAsia="zh-CN" w:bidi="ar-SA"/>
        </w:rPr>
        <w:t>，</w:t>
      </w:r>
      <w:r>
        <w:rPr>
          <w:rFonts w:hint="eastAsia" w:cs="Times New Roman"/>
          <w:color w:val="auto"/>
          <w:kern w:val="2"/>
          <w:sz w:val="32"/>
          <w:szCs w:val="32"/>
          <w:lang w:val="en-US" w:eastAsia="zh-CN" w:bidi="ar-SA"/>
        </w:rPr>
        <w:t>说明</w:t>
      </w:r>
      <w:r>
        <w:rPr>
          <w:rFonts w:hint="eastAsia" w:ascii="Times New Roman" w:hAnsi="Times New Roman" w:eastAsia="仿宋_GB2312" w:cs="Times New Roman"/>
          <w:color w:val="auto"/>
          <w:kern w:val="2"/>
          <w:sz w:val="32"/>
          <w:szCs w:val="32"/>
          <w:lang w:val="en-US" w:eastAsia="zh-CN" w:bidi="ar-SA"/>
        </w:rPr>
        <w:t>项目</w:t>
      </w:r>
      <w:r>
        <w:rPr>
          <w:rFonts w:hint="eastAsia" w:cs="Times New Roman"/>
          <w:color w:val="auto"/>
          <w:kern w:val="2"/>
          <w:sz w:val="32"/>
          <w:szCs w:val="32"/>
          <w:lang w:val="en-US" w:eastAsia="zh-CN" w:bidi="ar-SA"/>
        </w:rPr>
        <w:t>建设</w:t>
      </w:r>
      <w:r>
        <w:rPr>
          <w:rFonts w:hint="eastAsia" w:ascii="Times New Roman" w:hAnsi="Times New Roman" w:eastAsia="仿宋_GB2312" w:cs="Times New Roman"/>
          <w:color w:val="auto"/>
          <w:kern w:val="2"/>
          <w:sz w:val="32"/>
          <w:szCs w:val="32"/>
          <w:lang w:val="en-US" w:eastAsia="zh-CN" w:bidi="ar-SA"/>
        </w:rPr>
        <w:t>内容</w:t>
      </w:r>
      <w:r>
        <w:rPr>
          <w:rFonts w:hint="eastAsia" w:cs="Times New Roman"/>
          <w:color w:val="auto"/>
          <w:kern w:val="2"/>
          <w:sz w:val="32"/>
          <w:szCs w:val="32"/>
          <w:lang w:val="en-US" w:eastAsia="zh-CN" w:bidi="ar-SA"/>
        </w:rPr>
        <w:t>和</w:t>
      </w:r>
      <w:r>
        <w:rPr>
          <w:rFonts w:hint="eastAsia" w:ascii="Times New Roman" w:hAnsi="Times New Roman" w:eastAsia="仿宋_GB2312" w:cs="Times New Roman"/>
          <w:color w:val="auto"/>
          <w:kern w:val="2"/>
          <w:sz w:val="32"/>
          <w:szCs w:val="32"/>
          <w:lang w:val="en-US" w:eastAsia="zh-CN" w:bidi="ar-SA"/>
        </w:rPr>
        <w:t>规模、预期产出及成效等。</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（四）项目选址与要素保障。项目选址选线、</w:t>
      </w:r>
      <w:r>
        <w:rPr>
          <w:rFonts w:hint="eastAsia" w:cs="Times New Roman"/>
          <w:color w:val="auto"/>
          <w:kern w:val="2"/>
          <w:sz w:val="32"/>
          <w:szCs w:val="32"/>
          <w:lang w:val="en-US" w:eastAsia="zh-CN" w:bidi="ar-SA"/>
        </w:rPr>
        <w:t>共享廊道、</w:t>
      </w:r>
      <w:r>
        <w:rPr>
          <w:rFonts w:hint="eastAsia" w:ascii="Times New Roman" w:hAnsi="Times New Roman" w:eastAsia="仿宋_GB2312" w:cs="Times New Roman"/>
          <w:color w:val="auto"/>
          <w:kern w:val="2"/>
          <w:sz w:val="32"/>
          <w:szCs w:val="32"/>
          <w:lang w:val="en-US" w:eastAsia="zh-CN" w:bidi="ar-SA"/>
        </w:rPr>
        <w:t>项目建设条件、用地等要素保障情况。</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（五）项目建设方案。</w:t>
      </w:r>
      <w:r>
        <w:rPr>
          <w:rFonts w:hint="eastAsia" w:ascii="Times New Roman" w:hAnsi="Times New Roman" w:cs="Times New Roman"/>
          <w:color w:val="auto"/>
          <w:kern w:val="2"/>
          <w:sz w:val="32"/>
          <w:szCs w:val="32"/>
          <w:lang w:val="en-US" w:eastAsia="zh-CN" w:bidi="ar-SA"/>
        </w:rPr>
        <w:t>变电工程方案</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线路工程方案、停电过渡方案、</w:t>
      </w:r>
      <w:r>
        <w:rPr>
          <w:rFonts w:hint="eastAsia" w:ascii="Times New Roman" w:hAnsi="Times New Roman" w:eastAsia="仿宋_GB2312" w:cs="Times New Roman"/>
          <w:color w:val="auto"/>
          <w:kern w:val="2"/>
          <w:sz w:val="32"/>
          <w:szCs w:val="32"/>
          <w:lang w:val="en-US" w:eastAsia="zh-CN" w:bidi="ar-SA"/>
        </w:rPr>
        <w:t>用地征收补偿（安置）方案、数字化方案、建设管理方案等。</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（六）项目运营方案。项目运营</w:t>
      </w:r>
      <w:r>
        <w:rPr>
          <w:rFonts w:hint="eastAsia" w:ascii="Times New Roman" w:hAnsi="Times New Roman" w:cs="Times New Roman"/>
          <w:color w:val="auto"/>
          <w:kern w:val="2"/>
          <w:sz w:val="32"/>
          <w:szCs w:val="32"/>
          <w:lang w:val="en-US" w:eastAsia="zh-CN" w:bidi="ar-SA"/>
        </w:rPr>
        <w:t>责任主体</w:t>
      </w:r>
      <w:r>
        <w:rPr>
          <w:rFonts w:hint="eastAsia" w:ascii="Times New Roman" w:hAnsi="Times New Roman" w:eastAsia="仿宋_GB2312" w:cs="Times New Roman"/>
          <w:color w:val="auto"/>
          <w:kern w:val="2"/>
          <w:sz w:val="32"/>
          <w:szCs w:val="32"/>
          <w:lang w:val="en-US" w:eastAsia="zh-CN" w:bidi="ar-SA"/>
        </w:rPr>
        <w:t>、运营组织、安全保障、绩效管理等情况。</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（七）项目投融资与财务方案。项目投资估算、盈利能力分析、融资方案、债务清偿能力分析等。</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（八）项目影响效果分析。经济、社会、生态环境影响分析，资源和能源利用效果分析、碳达峰碳中和分析等。</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（九）项目风险管控方案。风险识别与评价、风险管控方案、风险应急预案等。</w:t>
      </w:r>
    </w:p>
    <w:p>
      <w:pPr>
        <w:widowControl w:val="0"/>
        <w:bidi w:val="0"/>
        <w:spacing w:afterLines="0" w:line="56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（十）研究结论及建议。主要研究结论、问题与建议等。</w:t>
      </w:r>
    </w:p>
    <w:p>
      <w:pPr>
        <w:pStyle w:val="2"/>
        <w:rPr>
          <w:rFonts w:hint="eastAsia"/>
        </w:rPr>
      </w:pPr>
      <w:r>
        <w:rPr>
          <w:rFonts w:hint="eastAsia" w:ascii="Times New Roman" w:hAnsi="Times New Roman" w:eastAsia="仿宋_GB2312" w:cs="Times New Roman"/>
          <w:color w:val="auto"/>
          <w:kern w:val="2"/>
          <w:sz w:val="32"/>
          <w:szCs w:val="32"/>
          <w:lang w:val="en-US" w:eastAsia="zh-CN" w:bidi="ar-SA"/>
        </w:rPr>
        <w:t>（十一）附表、附图和附件。</w:t>
      </w:r>
    </w:p>
    <w:p>
      <w:pPr>
        <w:pStyle w:val="2"/>
        <w:rPr>
          <w:rFonts w:hint="eastAsia" w:ascii="Times New Roman" w:hAnsi="Times New Roman"/>
          <w:color w:val="auto"/>
        </w:rPr>
      </w:pP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val="0"/>
        <w:spacing w:line="560" w:lineRule="exact"/>
        <w:ind w:firstLine="402" w:firstLineChars="0"/>
        <w:jc w:val="center"/>
        <w:textAlignment w:val="auto"/>
        <w:outlineLvl w:val="0"/>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lang w:val="en-US" w:eastAsia="zh-CN"/>
        </w:rPr>
        <w:t>项目可行性研究报告审查要求</w:t>
      </w:r>
    </w:p>
    <w:p>
      <w:pPr>
        <w:pStyle w:val="2"/>
        <w:rPr>
          <w:rFonts w:hint="eastAsia" w:ascii="Times New Roman" w:hAnsi="Times New Roman"/>
          <w:color w:val="auto"/>
        </w:rPr>
      </w:pP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color w:val="auto"/>
          <w:szCs w:val="32"/>
          <w:lang w:val="en-US" w:eastAsia="zh-CN"/>
        </w:rPr>
        <w:t>项目可行性研究报告评估</w:t>
      </w:r>
      <w:r>
        <w:rPr>
          <w:rFonts w:hint="eastAsia"/>
          <w:color w:val="auto"/>
          <w:szCs w:val="32"/>
          <w:lang w:val="en-US" w:eastAsia="zh-CN"/>
        </w:rPr>
        <w:t>应包括以下内容</w:t>
      </w:r>
      <w:r>
        <w:rPr>
          <w:rFonts w:hint="eastAsia" w:ascii="Times New Roman" w:hAnsi="Times New Roman"/>
          <w:color w:val="auto"/>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一</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项目是否确为农村电网</w:t>
      </w:r>
      <w:r>
        <w:rPr>
          <w:rFonts w:hint="eastAsia" w:ascii="Times New Roman" w:hAnsi="Times New Roman" w:eastAsia="仿宋_GB2312"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rPr>
        <w:t>，是否</w:t>
      </w:r>
      <w:r>
        <w:rPr>
          <w:rFonts w:hint="eastAsia" w:cs="仿宋_GB2312"/>
          <w:b w:val="0"/>
          <w:bCs w:val="0"/>
          <w:color w:val="auto"/>
          <w:sz w:val="32"/>
          <w:szCs w:val="32"/>
          <w:highlight w:val="none"/>
          <w:lang w:eastAsia="zh-CN"/>
        </w:rPr>
        <w:t>已纳入</w:t>
      </w:r>
      <w:r>
        <w:rPr>
          <w:rFonts w:hint="eastAsia" w:ascii="Times New Roman" w:hAnsi="Times New Roman" w:eastAsia="仿宋_GB2312" w:cs="仿宋_GB2312"/>
          <w:b w:val="0"/>
          <w:bCs w:val="0"/>
          <w:color w:val="auto"/>
          <w:sz w:val="32"/>
          <w:szCs w:val="32"/>
          <w:highlight w:val="none"/>
        </w:rPr>
        <w:t>本地区农村电网巩固提升工程规划</w:t>
      </w:r>
      <w:r>
        <w:rPr>
          <w:rFonts w:hint="eastAsia" w:cs="仿宋_GB2312"/>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二</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项目建设必要性的论述是否清楚、充分，项目是否确有必要建设；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三</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项目方案的技术路线是否合理，建设</w:t>
      </w:r>
      <w:r>
        <w:rPr>
          <w:rFonts w:hint="eastAsia" w:cs="仿宋_GB2312"/>
          <w:b w:val="0"/>
          <w:bCs w:val="0"/>
          <w:color w:val="auto"/>
          <w:sz w:val="32"/>
          <w:szCs w:val="32"/>
          <w:highlight w:val="none"/>
          <w:lang w:eastAsia="zh-CN"/>
        </w:rPr>
        <w:t>方案</w:t>
      </w:r>
      <w:r>
        <w:rPr>
          <w:rFonts w:hint="eastAsia" w:ascii="Times New Roman" w:hAnsi="Times New Roman" w:eastAsia="仿宋_GB2312" w:cs="仿宋_GB2312"/>
          <w:b w:val="0"/>
          <w:bCs w:val="0"/>
          <w:color w:val="auto"/>
          <w:sz w:val="32"/>
          <w:szCs w:val="32"/>
          <w:highlight w:val="none"/>
        </w:rPr>
        <w:t>是否达到深度要求，</w:t>
      </w:r>
      <w:r>
        <w:rPr>
          <w:rFonts w:hint="eastAsia" w:cs="仿宋_GB2312"/>
          <w:b w:val="0"/>
          <w:bCs w:val="0"/>
          <w:color w:val="auto"/>
          <w:sz w:val="32"/>
          <w:szCs w:val="32"/>
          <w:highlight w:val="none"/>
          <w:lang w:eastAsia="zh-CN"/>
        </w:rPr>
        <w:t>依据的技术</w:t>
      </w:r>
      <w:r>
        <w:rPr>
          <w:rFonts w:hint="eastAsia" w:ascii="Times New Roman" w:hAnsi="Times New Roman" w:eastAsia="仿宋_GB2312" w:cs="仿宋_GB2312"/>
          <w:b w:val="0"/>
          <w:bCs w:val="0"/>
          <w:color w:val="auto"/>
          <w:sz w:val="32"/>
          <w:szCs w:val="32"/>
          <w:highlight w:val="none"/>
        </w:rPr>
        <w:t>标准是否合适，是否存在违反</w:t>
      </w:r>
      <w:r>
        <w:rPr>
          <w:rFonts w:hint="eastAsia" w:cs="仿宋_GB2312"/>
          <w:b w:val="0"/>
          <w:bCs w:val="0"/>
          <w:color w:val="auto"/>
          <w:sz w:val="32"/>
          <w:szCs w:val="32"/>
          <w:highlight w:val="none"/>
          <w:lang w:eastAsia="zh-CN"/>
        </w:rPr>
        <w:t>农村电网建设改造相关</w:t>
      </w:r>
      <w:r>
        <w:rPr>
          <w:rFonts w:hint="eastAsia" w:ascii="Times New Roman" w:hAnsi="Times New Roman" w:eastAsia="仿宋_GB2312" w:cs="仿宋_GB2312"/>
          <w:b w:val="0"/>
          <w:bCs w:val="0"/>
          <w:color w:val="auto"/>
          <w:sz w:val="32"/>
          <w:szCs w:val="32"/>
          <w:highlight w:val="none"/>
        </w:rPr>
        <w:t>技术原则的情况，是否存在</w:t>
      </w:r>
      <w:r>
        <w:rPr>
          <w:rFonts w:hint="eastAsia" w:cs="仿宋_GB2312"/>
          <w:b w:val="0"/>
          <w:bCs w:val="0"/>
          <w:color w:val="auto"/>
          <w:sz w:val="32"/>
          <w:szCs w:val="32"/>
          <w:highlight w:val="none"/>
          <w:lang w:eastAsia="zh-CN"/>
        </w:rPr>
        <w:t>超标准建设</w:t>
      </w:r>
      <w:r>
        <w:rPr>
          <w:rFonts w:hint="eastAsia" w:ascii="Times New Roman" w:hAnsi="Times New Roman" w:eastAsia="仿宋_GB2312" w:cs="仿宋_GB2312"/>
          <w:b w:val="0"/>
          <w:bCs w:val="0"/>
          <w:color w:val="auto"/>
          <w:sz w:val="32"/>
          <w:szCs w:val="32"/>
          <w:highlight w:val="none"/>
        </w:rPr>
        <w:t>或改造不彻底的问题，是否存在大拆大建</w:t>
      </w:r>
      <w:r>
        <w:rPr>
          <w:rFonts w:hint="eastAsia" w:cs="仿宋_GB2312"/>
          <w:b w:val="0"/>
          <w:bCs w:val="0"/>
          <w:color w:val="auto"/>
          <w:sz w:val="32"/>
          <w:szCs w:val="32"/>
          <w:highlight w:val="none"/>
          <w:lang w:eastAsia="zh-CN"/>
        </w:rPr>
        <w:t>的</w:t>
      </w:r>
      <w:r>
        <w:rPr>
          <w:rFonts w:hint="eastAsia" w:ascii="Times New Roman" w:hAnsi="Times New Roman" w:eastAsia="仿宋_GB2312" w:cs="仿宋_GB2312"/>
          <w:b w:val="0"/>
          <w:bCs w:val="0"/>
          <w:color w:val="auto"/>
          <w:sz w:val="32"/>
          <w:szCs w:val="32"/>
          <w:highlight w:val="none"/>
        </w:rPr>
        <w:t>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四</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项目建设的外部条件是否落实，是否获取相关协议；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五</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项目投资估算、融资方案</w:t>
      </w:r>
      <w:r>
        <w:rPr>
          <w:rFonts w:hint="eastAsia" w:cs="仿宋_GB2312"/>
          <w:b w:val="0"/>
          <w:bCs w:val="0"/>
          <w:color w:val="auto"/>
          <w:sz w:val="32"/>
          <w:szCs w:val="32"/>
          <w:highlight w:val="none"/>
          <w:lang w:eastAsia="zh-CN"/>
        </w:rPr>
        <w:t>等是</w:t>
      </w:r>
      <w:r>
        <w:rPr>
          <w:rFonts w:hint="eastAsia" w:ascii="Times New Roman" w:hAnsi="Times New Roman" w:eastAsia="仿宋_GB2312" w:cs="仿宋_GB2312"/>
          <w:b w:val="0"/>
          <w:bCs w:val="0"/>
          <w:color w:val="auto"/>
          <w:sz w:val="32"/>
          <w:szCs w:val="32"/>
          <w:highlight w:val="none"/>
        </w:rPr>
        <w:t>否合理，</w:t>
      </w:r>
      <w:r>
        <w:rPr>
          <w:rFonts w:hint="eastAsia" w:cs="仿宋_GB2312"/>
          <w:b w:val="0"/>
          <w:bCs w:val="0"/>
          <w:color w:val="auto"/>
          <w:sz w:val="32"/>
          <w:szCs w:val="32"/>
          <w:highlight w:val="none"/>
          <w:lang w:eastAsia="zh-CN"/>
        </w:rPr>
        <w:t>投资估算书编制是否规范，工程造价是否合理</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省级发展改革委对项目可行性研究报告进行审批，</w:t>
      </w:r>
      <w:r>
        <w:rPr>
          <w:rFonts w:hint="eastAsia" w:ascii="Times New Roman" w:hAnsi="Times New Roman" w:eastAsia="仿宋_GB2312" w:cs="仿宋_GB2312"/>
          <w:b w:val="0"/>
          <w:bCs w:val="0"/>
          <w:color w:val="auto"/>
          <w:sz w:val="32"/>
          <w:szCs w:val="32"/>
          <w:highlight w:val="none"/>
          <w:lang w:val="en-US" w:eastAsia="zh-CN"/>
        </w:rPr>
        <w:t>批复</w:t>
      </w:r>
      <w:r>
        <w:rPr>
          <w:rFonts w:hint="eastAsia" w:ascii="Times New Roman" w:hAnsi="Times New Roman" w:eastAsia="仿宋_GB2312" w:cs="仿宋_GB2312"/>
          <w:b w:val="0"/>
          <w:bCs w:val="0"/>
          <w:color w:val="auto"/>
          <w:sz w:val="32"/>
          <w:szCs w:val="32"/>
          <w:highlight w:val="none"/>
        </w:rPr>
        <w:t>文件应至少包含以下内容：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一</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项目名称、建设地点</w:t>
      </w:r>
      <w:r>
        <w:rPr>
          <w:rFonts w:hint="eastAsia" w:cs="仿宋_GB2312"/>
          <w:b w:val="0"/>
          <w:bCs w:val="0"/>
          <w:color w:val="auto"/>
          <w:sz w:val="32"/>
          <w:szCs w:val="32"/>
          <w:highlight w:val="none"/>
          <w:lang w:eastAsia="zh-CN"/>
        </w:rPr>
        <w:t>、项目法人</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二</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对项目的总体意见；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三</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项目具体建设内容；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四</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项目总投资及资金来源；</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五</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项目应附</w:t>
      </w:r>
      <w:r>
        <w:rPr>
          <w:rFonts w:hint="eastAsia" w:cs="仿宋_GB2312"/>
          <w:b w:val="0"/>
          <w:bCs w:val="0"/>
          <w:color w:val="auto"/>
          <w:sz w:val="32"/>
          <w:szCs w:val="32"/>
          <w:highlight w:val="none"/>
          <w:lang w:eastAsia="zh-CN"/>
        </w:rPr>
        <w:t>的</w:t>
      </w:r>
      <w:r>
        <w:rPr>
          <w:rFonts w:hint="eastAsia" w:ascii="Times New Roman" w:hAnsi="Times New Roman" w:eastAsia="仿宋_GB2312" w:cs="仿宋_GB2312"/>
          <w:b w:val="0"/>
          <w:bCs w:val="0"/>
          <w:color w:val="auto"/>
          <w:sz w:val="32"/>
          <w:szCs w:val="32"/>
          <w:highlight w:val="none"/>
        </w:rPr>
        <w:t>前置合规文件；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六</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对工程管理和招投标的相关要求；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七</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招标事项核准意见表；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八</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电力项目安全管理和质量管控事项告知书。</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lang w:val="en-US" w:eastAsia="zh-CN"/>
        </w:rPr>
        <w:t>具有下列情况之一的，</w:t>
      </w:r>
      <w:r>
        <w:rPr>
          <w:rFonts w:hint="eastAsia" w:cs="仿宋_GB2312"/>
          <w:b w:val="0"/>
          <w:bCs w:val="0"/>
          <w:color w:val="auto"/>
          <w:sz w:val="32"/>
          <w:szCs w:val="32"/>
          <w:highlight w:val="none"/>
          <w:lang w:val="en-US" w:eastAsia="zh-CN"/>
        </w:rPr>
        <w:t>省级发展改革委</w:t>
      </w:r>
      <w:r>
        <w:rPr>
          <w:rFonts w:hint="eastAsia" w:ascii="Times New Roman" w:hAnsi="Times New Roman" w:eastAsia="仿宋_GB2312" w:cs="仿宋_GB2312"/>
          <w:b w:val="0"/>
          <w:bCs w:val="0"/>
          <w:color w:val="auto"/>
          <w:sz w:val="32"/>
          <w:szCs w:val="32"/>
          <w:highlight w:val="none"/>
        </w:rPr>
        <w:t>不应审批项目可行性研究报告</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val="0"/>
        <w:spacing w:line="560" w:lineRule="exact"/>
        <w:ind w:leftChars="0" w:firstLine="640" w:firstLineChars="200"/>
        <w:textAlignment w:val="auto"/>
        <w:rPr>
          <w:rFonts w:hint="eastAsia"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项目不属于农村电网</w:t>
      </w:r>
      <w:r>
        <w:rPr>
          <w:rFonts w:hint="eastAsia" w:cs="仿宋_GB2312"/>
          <w:b w:val="0"/>
          <w:bCs w:val="0"/>
          <w:color w:val="auto"/>
          <w:sz w:val="32"/>
          <w:szCs w:val="32"/>
          <w:highlight w:val="none"/>
          <w:lang w:eastAsia="zh-CN"/>
        </w:rPr>
        <w:t>范围；</w:t>
      </w:r>
    </w:p>
    <w:p>
      <w:pPr>
        <w:keepNext w:val="0"/>
        <w:keepLines w:val="0"/>
        <w:pageBreakBefore w:val="0"/>
        <w:widowControl w:val="0"/>
        <w:numPr>
          <w:ilvl w:val="0"/>
          <w:numId w:val="6"/>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cs="仿宋_GB2312"/>
          <w:b w:val="0"/>
          <w:bCs w:val="0"/>
          <w:color w:val="auto"/>
          <w:sz w:val="32"/>
          <w:szCs w:val="32"/>
          <w:highlight w:val="none"/>
          <w:lang w:eastAsia="zh-CN"/>
        </w:rPr>
        <w:t>项目未纳入当地</w:t>
      </w:r>
      <w:r>
        <w:rPr>
          <w:rFonts w:hint="eastAsia" w:ascii="Times New Roman" w:hAnsi="Times New Roman" w:eastAsia="仿宋_GB2312" w:cs="仿宋_GB2312"/>
          <w:b w:val="0"/>
          <w:bCs w:val="0"/>
          <w:color w:val="auto"/>
          <w:sz w:val="32"/>
          <w:szCs w:val="32"/>
          <w:highlight w:val="none"/>
        </w:rPr>
        <w:t>农村电网巩固提升工程规划；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三</w:t>
      </w:r>
      <w:r>
        <w:rPr>
          <w:rFonts w:hint="eastAsia" w:ascii="Times New Roman" w:hAnsi="Times New Roman"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rPr>
        <w:t>项目可行性研究报告未达到深度要求；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四</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项目技术方案</w:t>
      </w:r>
      <w:r>
        <w:rPr>
          <w:rFonts w:hint="eastAsia" w:cs="仿宋_GB2312"/>
          <w:b w:val="0"/>
          <w:bCs w:val="0"/>
          <w:color w:val="auto"/>
          <w:sz w:val="32"/>
          <w:szCs w:val="32"/>
          <w:highlight w:val="none"/>
          <w:lang w:eastAsia="zh-CN"/>
        </w:rPr>
        <w:t>不符合</w:t>
      </w:r>
      <w:r>
        <w:rPr>
          <w:rFonts w:hint="eastAsia" w:ascii="Times New Roman" w:hAnsi="Times New Roman" w:eastAsia="仿宋_GB2312" w:cs="仿宋_GB2312"/>
          <w:b w:val="0"/>
          <w:bCs w:val="0"/>
          <w:color w:val="auto"/>
          <w:sz w:val="32"/>
          <w:szCs w:val="32"/>
          <w:highlight w:val="none"/>
        </w:rPr>
        <w:t>农</w:t>
      </w:r>
      <w:r>
        <w:rPr>
          <w:rFonts w:hint="eastAsia" w:cs="仿宋_GB2312"/>
          <w:b w:val="0"/>
          <w:bCs w:val="0"/>
          <w:color w:val="auto"/>
          <w:sz w:val="32"/>
          <w:szCs w:val="32"/>
          <w:highlight w:val="none"/>
          <w:lang w:eastAsia="zh-CN"/>
        </w:rPr>
        <w:t>村电</w:t>
      </w:r>
      <w:r>
        <w:rPr>
          <w:rFonts w:hint="eastAsia" w:ascii="Times New Roman" w:hAnsi="Times New Roman" w:eastAsia="仿宋_GB2312" w:cs="仿宋_GB2312"/>
          <w:b w:val="0"/>
          <w:bCs w:val="0"/>
          <w:color w:val="auto"/>
          <w:sz w:val="32"/>
          <w:szCs w:val="32"/>
          <w:highlight w:val="none"/>
        </w:rPr>
        <w:t>网</w:t>
      </w:r>
      <w:r>
        <w:rPr>
          <w:rFonts w:hint="eastAsia" w:cs="仿宋_GB2312"/>
          <w:b w:val="0"/>
          <w:bCs w:val="0"/>
          <w:color w:val="auto"/>
          <w:sz w:val="32"/>
          <w:szCs w:val="32"/>
          <w:highlight w:val="none"/>
          <w:lang w:eastAsia="zh-CN"/>
        </w:rPr>
        <w:t>建设改造有关</w:t>
      </w:r>
      <w:r>
        <w:rPr>
          <w:rFonts w:hint="eastAsia" w:ascii="Times New Roman" w:hAnsi="Times New Roman" w:eastAsia="仿宋_GB2312" w:cs="仿宋_GB2312"/>
          <w:b w:val="0"/>
          <w:bCs w:val="0"/>
          <w:color w:val="auto"/>
          <w:sz w:val="32"/>
          <w:szCs w:val="32"/>
          <w:highlight w:val="none"/>
        </w:rPr>
        <w:t>技术原则</w:t>
      </w:r>
      <w:r>
        <w:rPr>
          <w:rFonts w:hint="eastAsia" w:cs="仿宋_GB2312"/>
          <w:b w:val="0"/>
          <w:bCs w:val="0"/>
          <w:color w:val="auto"/>
          <w:sz w:val="32"/>
          <w:szCs w:val="32"/>
          <w:highlight w:val="none"/>
          <w:lang w:eastAsia="zh-CN"/>
        </w:rPr>
        <w:t>，或</w:t>
      </w:r>
      <w:r>
        <w:rPr>
          <w:rFonts w:hint="eastAsia" w:ascii="Times New Roman" w:hAnsi="Times New Roman" w:eastAsia="仿宋_GB2312" w:cs="仿宋_GB2312"/>
          <w:b w:val="0"/>
          <w:bCs w:val="0"/>
          <w:color w:val="auto"/>
          <w:sz w:val="32"/>
          <w:szCs w:val="32"/>
          <w:highlight w:val="none"/>
        </w:rPr>
        <w:t>明显不合理</w:t>
      </w:r>
      <w:r>
        <w:rPr>
          <w:rFonts w:hint="eastAsia" w:cs="仿宋_GB2312"/>
          <w:b w:val="0"/>
          <w:bCs w:val="0"/>
          <w:color w:val="auto"/>
          <w:sz w:val="32"/>
          <w:szCs w:val="32"/>
          <w:highlight w:val="none"/>
          <w:lang w:eastAsia="zh-CN"/>
        </w:rPr>
        <w:t>可能导致项目无法实施的</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五</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项目未</w:t>
      </w:r>
      <w:r>
        <w:rPr>
          <w:rFonts w:hint="eastAsia" w:cs="仿宋_GB2312"/>
          <w:b w:val="0"/>
          <w:bCs w:val="0"/>
          <w:color w:val="auto"/>
          <w:sz w:val="32"/>
          <w:szCs w:val="32"/>
          <w:highlight w:val="none"/>
          <w:lang w:eastAsia="zh-CN"/>
        </w:rPr>
        <w:t>编制投资估算书或投资估算未</w:t>
      </w:r>
      <w:r>
        <w:rPr>
          <w:rFonts w:hint="eastAsia" w:ascii="Times New Roman" w:hAnsi="Times New Roman" w:eastAsia="仿宋_GB2312" w:cs="仿宋_GB2312"/>
          <w:b w:val="0"/>
          <w:bCs w:val="0"/>
          <w:color w:val="auto"/>
          <w:sz w:val="32"/>
          <w:szCs w:val="32"/>
          <w:highlight w:val="none"/>
        </w:rPr>
        <w:t>达到深度要求</w:t>
      </w:r>
      <w:r>
        <w:rPr>
          <w:rFonts w:hint="eastAsia" w:cs="仿宋_GB2312"/>
          <w:b w:val="0"/>
          <w:bCs w:val="0"/>
          <w:color w:val="auto"/>
          <w:sz w:val="32"/>
          <w:szCs w:val="32"/>
          <w:highlight w:val="none"/>
          <w:lang w:eastAsia="zh-CN"/>
        </w:rPr>
        <w:t>，工程造价不合理的；</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lang w:val="en-US" w:eastAsia="zh-CN"/>
        </w:rPr>
      </w:pPr>
      <w:r>
        <w:rPr>
          <w:rFonts w:hint="eastAsia" w:cs="仿宋_GB2312"/>
          <w:b w:val="0"/>
          <w:bCs w:val="0"/>
          <w:color w:val="auto"/>
          <w:sz w:val="32"/>
          <w:szCs w:val="32"/>
          <w:highlight w:val="none"/>
          <w:lang w:val="en-US" w:eastAsia="zh-CN"/>
        </w:rPr>
        <w:t>（六）法律和其他规范性文件明确规定不予以审批的其他情况。</w:t>
      </w:r>
    </w:p>
    <w:p>
      <w:pPr>
        <w:pStyle w:val="2"/>
        <w:rPr>
          <w:rFonts w:hint="eastAsia" w:ascii="Times New Roman" w:hAnsi="Times New Roman"/>
          <w:color w:val="auto"/>
        </w:rPr>
      </w:pP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val="0"/>
        <w:spacing w:line="560" w:lineRule="exact"/>
        <w:ind w:firstLine="402" w:firstLineChars="0"/>
        <w:jc w:val="center"/>
        <w:textAlignment w:val="auto"/>
        <w:outlineLvl w:val="0"/>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lang w:val="en-US" w:eastAsia="zh-CN"/>
        </w:rPr>
        <w:t>附则</w:t>
      </w:r>
    </w:p>
    <w:p>
      <w:pPr>
        <w:pStyle w:val="2"/>
        <w:rPr>
          <w:rFonts w:hint="eastAsia" w:ascii="Times New Roman" w:hAnsi="Times New Roman" w:eastAsia="仿宋_GB2312"/>
          <w:color w:val="auto"/>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各</w:t>
      </w:r>
      <w:r>
        <w:rPr>
          <w:rFonts w:hint="eastAsia" w:ascii="Times New Roman" w:hAnsi="Times New Roman" w:eastAsia="仿宋_GB2312" w:cs="仿宋_GB2312"/>
          <w:b w:val="0"/>
          <w:bCs w:val="0"/>
          <w:color w:val="auto"/>
          <w:sz w:val="32"/>
          <w:szCs w:val="32"/>
          <w:highlight w:val="none"/>
          <w:lang w:eastAsia="zh-CN"/>
        </w:rPr>
        <w:t>省（</w:t>
      </w:r>
      <w:r>
        <w:rPr>
          <w:rFonts w:hint="eastAsia" w:ascii="Times New Roman" w:hAnsi="Times New Roman" w:eastAsia="仿宋_GB2312" w:cs="仿宋_GB2312"/>
          <w:b w:val="0"/>
          <w:bCs w:val="0"/>
          <w:color w:val="auto"/>
          <w:sz w:val="32"/>
          <w:szCs w:val="32"/>
          <w:highlight w:val="none"/>
          <w:lang w:val="en-US" w:eastAsia="zh-CN"/>
        </w:rPr>
        <w:t>区、市</w:t>
      </w:r>
      <w:r>
        <w:rPr>
          <w:rFonts w:hint="eastAsia" w:ascii="Times New Roman" w:hAnsi="Times New Roman" w:eastAsia="仿宋_GB2312" w:cs="仿宋_GB2312"/>
          <w:b w:val="0"/>
          <w:bCs w:val="0"/>
          <w:color w:val="auto"/>
          <w:sz w:val="32"/>
          <w:szCs w:val="32"/>
          <w:highlight w:val="none"/>
          <w:lang w:eastAsia="zh-CN"/>
        </w:rPr>
        <w:t>）发展改革委</w:t>
      </w:r>
      <w:r>
        <w:rPr>
          <w:rFonts w:hint="eastAsia"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eastAsia="zh-CN"/>
        </w:rPr>
        <w:t>能源局</w:t>
      </w:r>
      <w:r>
        <w:rPr>
          <w:rFonts w:hint="eastAsia"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可根据本指南，结合</w:t>
      </w:r>
      <w:r>
        <w:rPr>
          <w:rFonts w:hint="eastAsia" w:ascii="Times New Roman" w:hAnsi="Times New Roman" w:eastAsia="仿宋_GB2312" w:cs="仿宋_GB2312"/>
          <w:b w:val="0"/>
          <w:bCs w:val="0"/>
          <w:color w:val="auto"/>
          <w:sz w:val="32"/>
          <w:szCs w:val="32"/>
          <w:highlight w:val="none"/>
          <w:lang w:val="en-US" w:eastAsia="zh-CN"/>
        </w:rPr>
        <w:t>各地区</w:t>
      </w:r>
      <w:r>
        <w:rPr>
          <w:rFonts w:hint="eastAsia" w:ascii="Times New Roman" w:hAnsi="Times New Roman" w:eastAsia="仿宋_GB2312" w:cs="仿宋_GB2312"/>
          <w:b w:val="0"/>
          <w:bCs w:val="0"/>
          <w:color w:val="auto"/>
          <w:sz w:val="32"/>
          <w:szCs w:val="32"/>
          <w:highlight w:val="none"/>
        </w:rPr>
        <w:t>实际情况，制定</w:t>
      </w:r>
      <w:r>
        <w:rPr>
          <w:rFonts w:hint="eastAsia" w:ascii="Times New Roman" w:hAnsi="Times New Roman" w:eastAsia="仿宋_GB2312" w:cs="仿宋_GB2312"/>
          <w:b w:val="0"/>
          <w:bCs w:val="0"/>
          <w:color w:val="auto"/>
          <w:sz w:val="32"/>
          <w:szCs w:val="32"/>
          <w:highlight w:val="none"/>
          <w:lang w:val="en-US" w:eastAsia="zh-CN"/>
        </w:rPr>
        <w:t>本省（区、市）农村电网巩固提升工程中央预算内投资项目可行性研究报告编制和审查</w:t>
      </w:r>
      <w:r>
        <w:rPr>
          <w:rFonts w:hint="eastAsia" w:ascii="Times New Roman" w:hAnsi="Times New Roman" w:eastAsia="仿宋_GB2312" w:cs="仿宋_GB2312"/>
          <w:b w:val="0"/>
          <w:bCs w:val="0"/>
          <w:color w:val="auto"/>
          <w:sz w:val="32"/>
          <w:szCs w:val="32"/>
          <w:highlight w:val="none"/>
          <w:lang w:eastAsia="zh-CN"/>
        </w:rPr>
        <w:t>实施细则。</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本指南由国家能源局负责解释。</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jc w:val="left"/>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eastAsia="zh-CN"/>
        </w:rPr>
        <w:t>本指南自发布之日起施行，有效期</w:t>
      </w:r>
      <w:r>
        <w:rPr>
          <w:rFonts w:hint="eastAsia" w:ascii="Times New Roman" w:hAnsi="Times New Roman" w:eastAsia="仿宋_GB2312" w:cs="仿宋_GB2312"/>
          <w:b w:val="0"/>
          <w:bCs w:val="0"/>
          <w:color w:val="auto"/>
          <w:sz w:val="32"/>
          <w:szCs w:val="32"/>
          <w:highlight w:val="none"/>
          <w:lang w:val="en-US" w:eastAsia="zh-CN"/>
        </w:rPr>
        <w:t>5年</w:t>
      </w:r>
      <w:r>
        <w:rPr>
          <w:rFonts w:hint="eastAsia" w:ascii="Times New Roman" w:hAnsi="Times New Roman" w:eastAsia="仿宋_GB2312" w:cs="仿宋_GB2312"/>
          <w:b w:val="0"/>
          <w:bCs w:val="0"/>
          <w:color w:val="auto"/>
          <w:sz w:val="32"/>
          <w:szCs w:val="32"/>
          <w:highlight w:val="none"/>
          <w:lang w:eastAsia="zh-CN"/>
        </w:rPr>
        <w:t>。《农村电网改造升级项目可行性研究报告编制和审查指南》（国能综新能〔2014〕617号）同时废止。</w:t>
      </w:r>
    </w:p>
    <w:p>
      <w:pPr>
        <w:pStyle w:val="2"/>
        <w:rPr>
          <w:rFonts w:hint="eastAsia" w:ascii="Times New Roman" w:hAnsi="Times New Roman" w:eastAsia="仿宋_GB2312" w:cs="仿宋_GB2312"/>
          <w:b w:val="0"/>
          <w:bCs w:val="0"/>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200"/>
        <w:textAlignment w:val="auto"/>
        <w:rPr>
          <w:rFonts w:hint="eastAsia"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附件：农村电网巩固提升工程</w:t>
      </w:r>
      <w:r>
        <w:rPr>
          <w:rFonts w:hint="eastAsia" w:ascii="Times New Roman" w:hAnsi="Times New Roman" w:eastAsia="仿宋_GB2312" w:cs="仿宋_GB2312"/>
          <w:b w:val="0"/>
          <w:bCs w:val="0"/>
          <w:color w:val="auto"/>
          <w:sz w:val="32"/>
          <w:szCs w:val="32"/>
          <w:highlight w:val="none"/>
          <w:lang w:val="en-US" w:eastAsia="zh-CN"/>
        </w:rPr>
        <w:t>中央预算内投资项目</w:t>
      </w:r>
      <w:r>
        <w:rPr>
          <w:rFonts w:hint="eastAsia" w:ascii="Times New Roman" w:hAnsi="Times New Roman" w:eastAsia="仿宋_GB2312" w:cs="仿宋_GB2312"/>
          <w:b w:val="0"/>
          <w:bCs w:val="0"/>
          <w:color w:val="auto"/>
          <w:sz w:val="32"/>
          <w:szCs w:val="32"/>
          <w:highlight w:val="none"/>
        </w:rPr>
        <w:t>可行性</w:t>
      </w:r>
      <w:r>
        <w:rPr>
          <w:rFonts w:hint="eastAsia" w:cs="仿宋_GB2312"/>
          <w:b w:val="0"/>
          <w:bCs w:val="0"/>
          <w:color w:val="auto"/>
          <w:sz w:val="32"/>
          <w:szCs w:val="32"/>
          <w:highlight w:val="none"/>
          <w:lang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200" w:firstLine="832" w:firstLineChars="26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报告编制</w:t>
      </w:r>
      <w:r>
        <w:rPr>
          <w:rFonts w:hint="eastAsia" w:cs="仿宋_GB2312"/>
          <w:b w:val="0"/>
          <w:bCs w:val="0"/>
          <w:color w:val="auto"/>
          <w:sz w:val="32"/>
          <w:szCs w:val="32"/>
          <w:highlight w:val="none"/>
          <w:lang w:eastAsia="zh-CN"/>
        </w:rPr>
        <w:t>大纲</w:t>
      </w:r>
    </w:p>
    <w:p>
      <w:pPr>
        <w:rPr>
          <w:rFonts w:hint="eastAsia" w:ascii="Times New Roman" w:hAnsi="Times New Roman" w:eastAsia="黑体" w:cs="黑体"/>
          <w:color w:val="auto"/>
        </w:rPr>
      </w:pPr>
      <w:r>
        <w:rPr>
          <w:rFonts w:hint="eastAsia" w:ascii="Times New Roman" w:hAnsi="Times New Roman" w:eastAsia="黑体" w:cs="黑体"/>
          <w:color w:val="auto"/>
        </w:rPr>
        <w:br w:type="page"/>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黑体" w:cs="黑体"/>
          <w:color w:val="auto"/>
        </w:rPr>
      </w:pPr>
      <w:r>
        <w:rPr>
          <w:rFonts w:hint="eastAsia" w:ascii="Times New Roman" w:hAnsi="Times New Roman" w:eastAsia="黑体" w:cs="黑体"/>
          <w:color w:val="auto"/>
        </w:rPr>
        <w:t>附件</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0" w:firstLineChars="0"/>
        <w:jc w:val="center"/>
        <w:textAlignment w:val="auto"/>
        <w:rPr>
          <w:rFonts w:ascii="Times New Roman" w:hAnsi="Times New Roman" w:eastAsia="方正小标宋_GBK" w:cs="方正小标宋_GBK"/>
          <w:color w:val="auto"/>
          <w:sz w:val="44"/>
          <w:szCs w:val="44"/>
        </w:rPr>
      </w:pPr>
      <w:bookmarkStart w:id="0" w:name="_Toc31524"/>
      <w:bookmarkStart w:id="1" w:name="_Toc15087"/>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0" w:firstLineChars="0"/>
        <w:jc w:val="center"/>
        <w:textAlignment w:val="auto"/>
        <w:outlineLvl w:val="0"/>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rPr>
        <w:t>农村电网巩固提升工程</w:t>
      </w:r>
      <w:r>
        <w:rPr>
          <w:rFonts w:hint="eastAsia" w:ascii="方正小标宋简体" w:hAnsi="方正小标宋简体" w:eastAsia="方正小标宋简体" w:cs="方正小标宋简体"/>
          <w:color w:val="auto"/>
          <w:sz w:val="40"/>
          <w:szCs w:val="40"/>
          <w:lang w:val="en-US" w:eastAsia="zh-CN"/>
        </w:rPr>
        <w:t>中央预算内投资项目</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0" w:firstLineChars="0"/>
        <w:jc w:val="center"/>
        <w:textAlignment w:val="auto"/>
        <w:outlineLvl w:val="0"/>
        <w:rPr>
          <w:rFonts w:hint="eastAsia" w:ascii="Times New Roman" w:hAnsi="Times New Roman" w:eastAsia="仿宋_GB2312" w:cs="方正小标宋_GBK"/>
          <w:color w:val="auto"/>
          <w:sz w:val="44"/>
          <w:szCs w:val="44"/>
          <w:lang w:eastAsia="zh-CN"/>
        </w:rPr>
      </w:pPr>
      <w:r>
        <w:rPr>
          <w:rFonts w:hint="eastAsia" w:ascii="方正小标宋简体" w:hAnsi="方正小标宋简体" w:eastAsia="方正小标宋简体" w:cs="方正小标宋简体"/>
          <w:color w:val="auto"/>
          <w:sz w:val="40"/>
          <w:szCs w:val="40"/>
        </w:rPr>
        <w:t>可行性研究报告编制</w:t>
      </w:r>
      <w:r>
        <w:rPr>
          <w:rFonts w:hint="eastAsia" w:ascii="方正小标宋简体" w:hAnsi="方正小标宋简体" w:eastAsia="方正小标宋简体" w:cs="方正小标宋简体"/>
          <w:color w:val="auto"/>
          <w:sz w:val="40"/>
          <w:szCs w:val="40"/>
          <w:lang w:eastAsia="zh-CN"/>
        </w:rPr>
        <w:t>大纲</w:t>
      </w:r>
    </w:p>
    <w:bookmarkEnd w:id="0"/>
    <w:bookmarkEnd w:id="1"/>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jc w:val="both"/>
        <w:textAlignment w:val="auto"/>
        <w:rPr>
          <w:rFonts w:ascii="Times New Roman" w:hAnsi="Times New Roman" w:eastAsia="仿宋_GB2312" w:cs="Times New Roman"/>
          <w:color w:val="auto"/>
          <w:kern w:val="2"/>
          <w:sz w:val="32"/>
          <w:szCs w:val="24"/>
          <w:lang w:val="en-US" w:eastAsia="zh-CN" w:bidi="ar-SA"/>
        </w:rPr>
      </w:pPr>
    </w:p>
    <w:p>
      <w:pPr>
        <w:pStyle w:val="3"/>
        <w:bidi w:val="0"/>
        <w:ind w:left="0" w:leftChars="0" w:firstLine="640" w:firstLineChars="200"/>
        <w:rPr>
          <w:color w:val="auto"/>
          <w:lang w:val="en-US" w:eastAsia="zh-CN"/>
        </w:rPr>
      </w:pPr>
      <w:r>
        <w:rPr>
          <w:rFonts w:hint="eastAsia"/>
          <w:color w:val="auto"/>
          <w:lang w:val="en-US" w:eastAsia="zh-CN"/>
        </w:rPr>
        <w:t>概述</w:t>
      </w:r>
    </w:p>
    <w:p>
      <w:pPr>
        <w:pStyle w:val="4"/>
        <w:bidi w:val="0"/>
        <w:ind w:left="0" w:leftChars="0" w:firstLine="640" w:firstLineChars="200"/>
        <w:rPr>
          <w:color w:val="auto"/>
          <w:lang w:val="en-US" w:eastAsia="zh-CN"/>
        </w:rPr>
      </w:pPr>
      <w:r>
        <w:rPr>
          <w:rFonts w:hint="eastAsia"/>
          <w:color w:val="auto"/>
          <w:lang w:val="en-US" w:eastAsia="zh-CN"/>
        </w:rPr>
        <w:t>项目概况</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概述</w:t>
      </w:r>
      <w:r>
        <w:rPr>
          <w:rFonts w:hint="eastAsia" w:ascii="Times New Roman" w:hAnsi="Times New Roman" w:eastAsia="仿宋_GB2312" w:cs="仿宋_GB2312"/>
          <w:color w:val="auto"/>
          <w:szCs w:val="32"/>
          <w:lang w:eastAsia="zh-CN"/>
        </w:rPr>
        <w:t>项目名称、</w:t>
      </w:r>
      <w:r>
        <w:rPr>
          <w:rFonts w:hint="eastAsia" w:ascii="Times New Roman" w:hAnsi="Times New Roman" w:eastAsia="仿宋_GB2312" w:cs="仿宋_GB2312"/>
          <w:color w:val="auto"/>
          <w:szCs w:val="32"/>
        </w:rPr>
        <w:t>建设目标和任务、建设地点、建设内容和规模、建设工期、投资规模和资金来源、建设模式、主要技术经济指标、绩效目标等。</w:t>
      </w:r>
    </w:p>
    <w:p>
      <w:pPr>
        <w:pStyle w:val="4"/>
        <w:bidi w:val="0"/>
        <w:ind w:left="0" w:leftChars="0" w:firstLine="640" w:firstLineChars="200"/>
        <w:rPr>
          <w:color w:val="auto"/>
          <w:lang w:val="en-US" w:eastAsia="zh-CN"/>
        </w:rPr>
      </w:pPr>
      <w:bookmarkStart w:id="2" w:name="_Toc22293"/>
      <w:bookmarkStart w:id="3" w:name="_Toc5093"/>
      <w:bookmarkStart w:id="4" w:name="_Toc31913"/>
      <w:bookmarkStart w:id="5" w:name="_Toc11434"/>
      <w:bookmarkStart w:id="6" w:name="_Toc8153"/>
      <w:bookmarkStart w:id="7" w:name="_Toc22375"/>
      <w:r>
        <w:rPr>
          <w:rFonts w:hint="eastAsia"/>
          <w:color w:val="auto"/>
          <w:lang w:val="en-US" w:eastAsia="zh-CN"/>
        </w:rPr>
        <w:t>项目单位概况</w:t>
      </w:r>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简述</w:t>
      </w:r>
      <w:r>
        <w:rPr>
          <w:rFonts w:hint="eastAsia" w:ascii="Times New Roman" w:hAnsi="Times New Roman" w:eastAsia="仿宋_GB2312" w:cs="仿宋_GB2312"/>
          <w:color w:val="auto"/>
          <w:szCs w:val="32"/>
          <w:lang w:eastAsia="zh-CN"/>
        </w:rPr>
        <w:t>项目单位</w:t>
      </w:r>
      <w:r>
        <w:rPr>
          <w:rFonts w:hint="eastAsia" w:ascii="Times New Roman" w:hAnsi="Times New Roman" w:eastAsia="仿宋_GB2312" w:cs="仿宋_GB2312"/>
          <w:color w:val="auto"/>
          <w:szCs w:val="32"/>
        </w:rPr>
        <w:t>基本情况。</w:t>
      </w:r>
      <w:r>
        <w:rPr>
          <w:rFonts w:hint="eastAsia" w:ascii="Times New Roman" w:hAnsi="Times New Roman" w:eastAsia="仿宋_GB2312" w:cs="仿宋_GB2312"/>
          <w:color w:val="auto"/>
          <w:szCs w:val="32"/>
          <w:lang w:eastAsia="zh-CN"/>
        </w:rPr>
        <w:t>拟新组建项目法人的，简述项目法人组建方案。</w:t>
      </w:r>
      <w:r>
        <w:rPr>
          <w:rFonts w:hint="eastAsia" w:ascii="Times New Roman" w:hAnsi="Times New Roman" w:eastAsia="仿宋_GB2312" w:cs="仿宋_GB2312"/>
          <w:color w:val="auto"/>
          <w:szCs w:val="32"/>
        </w:rPr>
        <w:t>对于</w:t>
      </w:r>
      <w:r>
        <w:rPr>
          <w:rFonts w:hint="eastAsia" w:ascii="Times New Roman" w:hAnsi="Times New Roman" w:eastAsia="仿宋_GB2312" w:cs="仿宋_GB2312"/>
          <w:color w:val="auto"/>
          <w:szCs w:val="32"/>
          <w:lang w:eastAsia="zh-CN"/>
        </w:rPr>
        <w:t>政府</w:t>
      </w:r>
      <w:r>
        <w:rPr>
          <w:rFonts w:hint="eastAsia" w:ascii="Times New Roman" w:hAnsi="Times New Roman" w:eastAsia="仿宋_GB2312" w:cs="仿宋_GB2312"/>
          <w:color w:val="auto"/>
          <w:szCs w:val="32"/>
        </w:rPr>
        <w:t>资本金注入项目，简述项目</w:t>
      </w:r>
      <w:r>
        <w:rPr>
          <w:rFonts w:hint="eastAsia" w:ascii="Times New Roman" w:hAnsi="Times New Roman" w:eastAsia="仿宋_GB2312" w:cs="仿宋_GB2312"/>
          <w:color w:val="auto"/>
          <w:szCs w:val="32"/>
          <w:lang w:eastAsia="zh-CN"/>
        </w:rPr>
        <w:t>法人</w:t>
      </w:r>
      <w:r>
        <w:rPr>
          <w:rFonts w:hint="eastAsia" w:ascii="Times New Roman" w:hAnsi="Times New Roman" w:eastAsia="仿宋_GB2312" w:cs="仿宋_GB2312"/>
          <w:color w:val="auto"/>
          <w:szCs w:val="32"/>
        </w:rPr>
        <w:t>基本信息、投资人（或者股东）构成及政府出资人代表等情况。</w:t>
      </w:r>
    </w:p>
    <w:p>
      <w:pPr>
        <w:pStyle w:val="4"/>
        <w:bidi w:val="0"/>
        <w:ind w:left="0" w:leftChars="0" w:firstLine="640" w:firstLineChars="200"/>
        <w:rPr>
          <w:color w:val="auto"/>
          <w:lang w:val="en-US" w:eastAsia="zh-CN"/>
        </w:rPr>
      </w:pPr>
      <w:bookmarkStart w:id="8" w:name="_Toc11508"/>
      <w:bookmarkStart w:id="9" w:name="_Toc14982"/>
      <w:bookmarkStart w:id="10" w:name="_Toc32291"/>
      <w:bookmarkStart w:id="11" w:name="_Toc31161"/>
      <w:bookmarkStart w:id="12" w:name="_Toc21408"/>
      <w:bookmarkStart w:id="13" w:name="_Toc11808"/>
      <w:r>
        <w:rPr>
          <w:rFonts w:hint="eastAsia"/>
          <w:color w:val="auto"/>
          <w:lang w:val="en-US" w:eastAsia="zh-CN"/>
        </w:rPr>
        <w:t>编制依据</w:t>
      </w:r>
      <w:bookmarkEnd w:id="8"/>
      <w:bookmarkEnd w:id="9"/>
      <w:bookmarkEnd w:id="10"/>
      <w:bookmarkEnd w:id="11"/>
      <w:bookmarkEnd w:id="12"/>
      <w:bookmarkEnd w:id="13"/>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eastAsia="zh-CN"/>
        </w:rPr>
      </w:pPr>
      <w:r>
        <w:rPr>
          <w:rFonts w:hint="eastAsia" w:cs="仿宋_GB2312"/>
          <w:color w:val="auto"/>
          <w:szCs w:val="32"/>
          <w:lang w:eastAsia="zh-CN"/>
        </w:rPr>
        <w:t>概述国家和地方有关支持性规划、</w:t>
      </w:r>
      <w:r>
        <w:rPr>
          <w:rFonts w:hint="eastAsia" w:ascii="Times New Roman" w:hAnsi="Times New Roman" w:eastAsia="仿宋_GB2312" w:cs="仿宋_GB2312"/>
          <w:color w:val="auto"/>
          <w:szCs w:val="32"/>
        </w:rPr>
        <w:t>主要标准规范、专题研究成果</w:t>
      </w:r>
      <w:r>
        <w:rPr>
          <w:rFonts w:hint="eastAsia" w:cs="仿宋_GB2312"/>
          <w:color w:val="auto"/>
          <w:szCs w:val="32"/>
          <w:lang w:eastAsia="zh-CN"/>
        </w:rPr>
        <w:t>以及其他依据</w:t>
      </w:r>
      <w:r>
        <w:rPr>
          <w:rFonts w:hint="eastAsia" w:ascii="Times New Roman" w:hAnsi="Times New Roman" w:eastAsia="仿宋_GB2312" w:cs="仿宋_GB2312"/>
          <w:color w:val="auto"/>
          <w:szCs w:val="32"/>
        </w:rPr>
        <w:t>。</w:t>
      </w:r>
      <w:r>
        <w:rPr>
          <w:rFonts w:hint="eastAsia" w:cs="仿宋_GB2312"/>
          <w:color w:val="auto"/>
          <w:szCs w:val="32"/>
          <w:lang w:eastAsia="zh-CN"/>
        </w:rPr>
        <w:t>其中，主要执行或参考执行的标准有：</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（1）《电力系统技术导则》（GB/T38969）</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（2）《电力系统安全稳定导则》（GB 38755）</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（3）《电力系统电压和无功电力技术导则》（GB/T 40427）</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（4）《继电保护和安全自动装置技术规程》（GB/T 14285）</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（5）《110kV～750kV架空输电线路设计规范》（GB 50545）</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（6）《66KV及以下架空电力线路设计规范》（GB 50061）</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（7）《供配电系统设计规范》（GB 50052）</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（8）《20kV及以下变电所设计规范》（GB 50053）</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（9）《配电网规划设计技术导则》（DL/T 5729）</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（10）《35kV~220kV无人值班变电站设计技术规程》（DL/T 5103）</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（11）《电力系统调度自动化设计技术规程》（DL/T 5003）</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（12）《输变电工程可行性研究内容深度规定》（DL/T 5448）</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（13）《配电网可行性研究报告内容深度规定》（DL/T 5534）</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（14）《10kV及以下架空配电线路设计规范》（DL/T 5220）</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（15）《电网工程建设预算编制与计算规定》（国能发电力〔2019〕81号）</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s="仿宋_GB2312"/>
          <w:color w:val="auto"/>
          <w:szCs w:val="32"/>
          <w:lang w:val="en-US" w:eastAsia="zh-CN"/>
        </w:rPr>
      </w:pPr>
      <w:r>
        <w:rPr>
          <w:rFonts w:hint="eastAsia" w:cs="仿宋_GB2312"/>
          <w:color w:val="auto"/>
          <w:szCs w:val="32"/>
          <w:lang w:val="en-US" w:eastAsia="zh-CN"/>
        </w:rPr>
        <w:t>（16）《20kV及以下配电网工程定额和费用计算规定（2022年版）》（国能发电力〔2023〕20号）</w:t>
      </w:r>
    </w:p>
    <w:p>
      <w:pPr>
        <w:pStyle w:val="4"/>
        <w:bidi w:val="0"/>
        <w:ind w:left="0" w:leftChars="0" w:firstLine="640" w:firstLineChars="200"/>
        <w:rPr>
          <w:color w:val="auto"/>
          <w:lang w:val="en-US" w:eastAsia="zh-CN"/>
        </w:rPr>
      </w:pPr>
      <w:bookmarkStart w:id="14" w:name="_Toc25535"/>
      <w:bookmarkStart w:id="15" w:name="_Toc26978"/>
      <w:bookmarkStart w:id="16" w:name="_Toc10667"/>
      <w:bookmarkStart w:id="17" w:name="_Toc7614"/>
      <w:bookmarkStart w:id="18" w:name="_Toc2218"/>
      <w:r>
        <w:rPr>
          <w:rFonts w:hint="eastAsia"/>
          <w:color w:val="auto"/>
          <w:lang w:val="en-US" w:eastAsia="zh-CN"/>
        </w:rPr>
        <w:t>主要</w:t>
      </w:r>
      <w:r>
        <w:rPr>
          <w:rFonts w:hint="eastAsia" w:ascii="Times New Roman" w:hAnsi="Times New Roman"/>
          <w:color w:val="auto"/>
          <w:lang w:val="en-US" w:eastAsia="zh-CN"/>
        </w:rPr>
        <w:t>结论</w:t>
      </w:r>
      <w:r>
        <w:rPr>
          <w:rFonts w:hint="eastAsia"/>
          <w:color w:val="auto"/>
          <w:lang w:val="en-US" w:eastAsia="zh-CN"/>
        </w:rPr>
        <w:t>和建议</w:t>
      </w:r>
    </w:p>
    <w:p>
      <w:pPr>
        <w:pStyle w:val="2"/>
        <w:rPr>
          <w:rFonts w:hint="eastAsia" w:cs="仿宋_GB2312"/>
          <w:color w:val="auto"/>
          <w:kern w:val="0"/>
          <w:sz w:val="32"/>
          <w:szCs w:val="32"/>
          <w:lang w:val="en-US" w:eastAsia="zh-CN" w:bidi="ar-SA"/>
        </w:rPr>
      </w:pPr>
      <w:r>
        <w:rPr>
          <w:rFonts w:hint="eastAsia" w:cs="仿宋_GB2312"/>
          <w:color w:val="auto"/>
          <w:kern w:val="0"/>
          <w:sz w:val="32"/>
          <w:szCs w:val="32"/>
          <w:lang w:val="en-US" w:eastAsia="zh-CN" w:bidi="ar-SA"/>
        </w:rPr>
        <w:t>简述项目可行性研究的主要结论和建议。</w:t>
      </w:r>
    </w:p>
    <w:p>
      <w:pPr>
        <w:pStyle w:val="3"/>
        <w:bidi w:val="0"/>
        <w:rPr>
          <w:color w:val="auto"/>
          <w:lang w:val="en-US" w:eastAsia="zh-CN"/>
        </w:rPr>
      </w:pPr>
      <w:r>
        <w:rPr>
          <w:rFonts w:hint="eastAsia"/>
          <w:color w:val="auto"/>
          <w:lang w:val="en-US" w:eastAsia="zh-CN"/>
        </w:rPr>
        <w:t>项目建设背景和必要性</w:t>
      </w:r>
      <w:bookmarkEnd w:id="14"/>
      <w:bookmarkEnd w:id="15"/>
      <w:bookmarkEnd w:id="16"/>
      <w:bookmarkEnd w:id="17"/>
      <w:bookmarkEnd w:id="18"/>
    </w:p>
    <w:p>
      <w:pPr>
        <w:pStyle w:val="4"/>
        <w:bidi w:val="0"/>
        <w:ind w:left="0" w:leftChars="0" w:firstLine="640" w:firstLineChars="200"/>
        <w:rPr>
          <w:color w:val="auto"/>
          <w:lang w:val="en-US" w:eastAsia="zh-CN"/>
        </w:rPr>
      </w:pPr>
      <w:bookmarkStart w:id="19" w:name="_Toc20375"/>
      <w:bookmarkStart w:id="20" w:name="_Toc25375"/>
      <w:bookmarkStart w:id="21" w:name="_Toc30777"/>
      <w:bookmarkStart w:id="22" w:name="_Toc2508"/>
      <w:bookmarkStart w:id="23" w:name="_Toc16820"/>
      <w:bookmarkStart w:id="24" w:name="_Toc17172"/>
      <w:r>
        <w:rPr>
          <w:rFonts w:hint="eastAsia"/>
          <w:color w:val="auto"/>
          <w:lang w:val="en-US" w:eastAsia="zh-CN"/>
        </w:rPr>
        <w:t>项目建设背景</w:t>
      </w:r>
      <w:bookmarkEnd w:id="19"/>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cs="仿宋_GB2312"/>
          <w:color w:val="auto"/>
          <w:szCs w:val="32"/>
          <w:lang w:eastAsia="zh-CN"/>
        </w:rPr>
      </w:pPr>
      <w:r>
        <w:rPr>
          <w:rFonts w:hint="eastAsia" w:cs="仿宋_GB2312"/>
          <w:color w:val="auto"/>
          <w:szCs w:val="32"/>
          <w:lang w:eastAsia="zh-CN"/>
        </w:rPr>
        <w:t>项目所在县域的经济社会、自然环境等简况，电力系统简况。</w:t>
      </w:r>
    </w:p>
    <w:p>
      <w:pPr>
        <w:pStyle w:val="4"/>
        <w:bidi w:val="0"/>
        <w:ind w:left="0" w:leftChars="0" w:firstLine="640" w:firstLineChars="200"/>
        <w:rPr>
          <w:color w:val="auto"/>
          <w:lang w:val="en-US" w:eastAsia="zh-CN"/>
        </w:rPr>
      </w:pPr>
      <w:bookmarkStart w:id="25" w:name="_Toc5968"/>
      <w:bookmarkStart w:id="26" w:name="_Toc9124"/>
      <w:bookmarkStart w:id="27" w:name="_Toc3290"/>
      <w:bookmarkStart w:id="28" w:name="_Toc22253"/>
      <w:bookmarkStart w:id="29" w:name="_Toc21400"/>
      <w:bookmarkStart w:id="30" w:name="_Toc11185"/>
      <w:r>
        <w:rPr>
          <w:rFonts w:hint="eastAsia"/>
          <w:color w:val="auto"/>
          <w:lang w:val="en-US" w:eastAsia="zh-CN"/>
        </w:rPr>
        <w:t>项目建设必要性</w:t>
      </w:r>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Times New Roman" w:hAnsi="Times New Roman" w:eastAsia="仿宋_GB2312" w:cs="仿宋_GB2312"/>
          <w:color w:val="auto"/>
          <w:szCs w:val="32"/>
        </w:rPr>
      </w:pPr>
      <w:r>
        <w:rPr>
          <w:rFonts w:hint="eastAsia" w:cs="仿宋_GB2312"/>
          <w:color w:val="auto"/>
          <w:szCs w:val="32"/>
          <w:lang w:eastAsia="zh-CN"/>
        </w:rPr>
        <w:t>从供电能力、供电可靠性、电能质量等方面简述当地农村电网存在的突出矛盾问题，详细说明</w:t>
      </w:r>
      <w:r>
        <w:rPr>
          <w:rFonts w:hint="eastAsia" w:ascii="Times New Roman" w:hAnsi="Times New Roman" w:eastAsia="仿宋_GB2312" w:cs="仿宋_GB2312"/>
          <w:color w:val="auto"/>
          <w:szCs w:val="32"/>
        </w:rPr>
        <w:t>项目建设</w:t>
      </w:r>
      <w:r>
        <w:rPr>
          <w:rFonts w:hint="eastAsia" w:cs="仿宋_GB2312"/>
          <w:color w:val="auto"/>
          <w:szCs w:val="32"/>
          <w:lang w:eastAsia="zh-CN"/>
        </w:rPr>
        <w:t>的</w:t>
      </w:r>
      <w:r>
        <w:rPr>
          <w:rFonts w:hint="eastAsia" w:ascii="Times New Roman" w:hAnsi="Times New Roman" w:eastAsia="仿宋_GB2312" w:cs="仿宋_GB2312"/>
          <w:color w:val="auto"/>
          <w:szCs w:val="32"/>
        </w:rPr>
        <w:t>必要性</w:t>
      </w:r>
      <w:r>
        <w:rPr>
          <w:rFonts w:hint="eastAsia" w:cs="仿宋_GB2312"/>
          <w:color w:val="auto"/>
          <w:szCs w:val="32"/>
          <w:lang w:eastAsia="zh-CN"/>
        </w:rPr>
        <w:t>和建设时机的适当性</w:t>
      </w:r>
      <w:r>
        <w:rPr>
          <w:rFonts w:hint="eastAsia" w:ascii="Times New Roman" w:hAnsi="Times New Roman" w:eastAsia="仿宋_GB2312" w:cs="仿宋_GB2312"/>
          <w:color w:val="auto"/>
          <w:szCs w:val="32"/>
        </w:rPr>
        <w:t>。</w:t>
      </w:r>
    </w:p>
    <w:p>
      <w:pPr>
        <w:pStyle w:val="4"/>
        <w:bidi w:val="0"/>
        <w:ind w:left="0" w:leftChars="0" w:firstLine="640" w:firstLineChars="200"/>
        <w:rPr>
          <w:color w:val="auto"/>
          <w:lang w:val="en-US" w:eastAsia="zh-CN"/>
        </w:rPr>
      </w:pPr>
      <w:bookmarkStart w:id="31" w:name="_Toc14516"/>
      <w:bookmarkStart w:id="32" w:name="_Toc11469"/>
      <w:bookmarkStart w:id="33" w:name="_Toc8638"/>
      <w:bookmarkStart w:id="34" w:name="_Toc12527"/>
      <w:bookmarkStart w:id="35" w:name="_Toc14131"/>
      <w:bookmarkStart w:id="36" w:name="_Toc11259"/>
      <w:r>
        <w:rPr>
          <w:rFonts w:hint="eastAsia"/>
          <w:color w:val="auto"/>
          <w:lang w:val="en-US" w:eastAsia="zh-CN"/>
        </w:rPr>
        <w:t>政策符合性</w:t>
      </w:r>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Times New Roman" w:hAnsi="Times New Roman" w:eastAsia="仿宋_GB2312" w:cs="仿宋_GB2312"/>
          <w:color w:val="auto"/>
          <w:szCs w:val="32"/>
        </w:rPr>
      </w:pPr>
      <w:r>
        <w:rPr>
          <w:rFonts w:hint="eastAsia" w:ascii="Times New Roman" w:hAnsi="Times New Roman" w:eastAsia="仿宋_GB2312" w:cs="仿宋_GB2312"/>
          <w:color w:val="auto"/>
          <w:szCs w:val="32"/>
        </w:rPr>
        <w:t>简述项目与</w:t>
      </w:r>
      <w:r>
        <w:rPr>
          <w:rFonts w:hint="eastAsia" w:ascii="Times New Roman" w:hAnsi="Times New Roman" w:cs="仿宋_GB2312"/>
          <w:color w:val="auto"/>
          <w:szCs w:val="32"/>
          <w:lang w:eastAsia="zh-CN"/>
        </w:rPr>
        <w:t>农村电网巩固提升工程规划以及</w:t>
      </w:r>
      <w:r>
        <w:rPr>
          <w:rFonts w:hint="eastAsia" w:ascii="Times New Roman" w:hAnsi="Times New Roman" w:eastAsia="仿宋_GB2312" w:cs="仿宋_GB2312"/>
          <w:color w:val="auto"/>
          <w:szCs w:val="32"/>
        </w:rPr>
        <w:t>经济社会发展规划、区域规划、国土空间规划</w:t>
      </w:r>
      <w:r>
        <w:rPr>
          <w:rFonts w:hint="eastAsia" w:ascii="Times New Roman" w:hAnsi="Times New Roman" w:cs="仿宋_GB2312"/>
          <w:color w:val="auto"/>
          <w:szCs w:val="32"/>
          <w:lang w:eastAsia="zh-CN"/>
        </w:rPr>
        <w:t>等</w:t>
      </w:r>
      <w:r>
        <w:rPr>
          <w:rFonts w:hint="eastAsia" w:ascii="Times New Roman" w:hAnsi="Times New Roman" w:eastAsia="仿宋_GB2312" w:cs="仿宋_GB2312"/>
          <w:color w:val="auto"/>
          <w:szCs w:val="32"/>
        </w:rPr>
        <w:t>规划的衔接性，与服务乡村振兴、共同富裕、扩大内需、科技创新、节能减排、碳达峰碳中和等重大政策目标的符合性。</w:t>
      </w:r>
      <w:r>
        <w:rPr>
          <w:rFonts w:hint="eastAsia" w:cs="仿宋_GB2312"/>
          <w:color w:val="auto"/>
          <w:szCs w:val="32"/>
          <w:lang w:eastAsia="zh-CN"/>
        </w:rPr>
        <w:t>说明</w:t>
      </w:r>
      <w:r>
        <w:rPr>
          <w:rFonts w:hint="eastAsia" w:ascii="Times New Roman" w:hAnsi="Times New Roman" w:eastAsia="仿宋_GB2312" w:cs="仿宋_GB2312"/>
          <w:color w:val="auto"/>
          <w:szCs w:val="32"/>
        </w:rPr>
        <w:t>项目用地预审</w:t>
      </w:r>
      <w:r>
        <w:rPr>
          <w:rFonts w:hint="eastAsia" w:cs="仿宋_GB2312"/>
          <w:color w:val="auto"/>
          <w:szCs w:val="32"/>
          <w:lang w:eastAsia="zh-CN"/>
        </w:rPr>
        <w:t>、</w:t>
      </w:r>
      <w:r>
        <w:rPr>
          <w:rFonts w:hint="eastAsia" w:ascii="Times New Roman" w:hAnsi="Times New Roman" w:eastAsia="仿宋_GB2312" w:cs="仿宋_GB2312"/>
          <w:color w:val="auto"/>
          <w:szCs w:val="32"/>
        </w:rPr>
        <w:t>规划选址等行政审批手续办理和其他前期工作进展</w:t>
      </w:r>
      <w:r>
        <w:rPr>
          <w:rFonts w:hint="eastAsia" w:cs="仿宋_GB2312"/>
          <w:color w:val="auto"/>
          <w:szCs w:val="32"/>
          <w:lang w:eastAsia="zh-CN"/>
        </w:rPr>
        <w:t>情况</w:t>
      </w:r>
      <w:r>
        <w:rPr>
          <w:rFonts w:hint="eastAsia" w:ascii="Times New Roman" w:hAnsi="Times New Roman" w:eastAsia="仿宋_GB2312" w:cs="仿宋_GB2312"/>
          <w:color w:val="auto"/>
          <w:szCs w:val="32"/>
        </w:rPr>
        <w:t>。</w:t>
      </w:r>
    </w:p>
    <w:p>
      <w:pPr>
        <w:pStyle w:val="3"/>
        <w:bidi w:val="0"/>
        <w:rPr>
          <w:color w:val="auto"/>
          <w:lang w:val="en-US" w:eastAsia="zh-CN"/>
        </w:rPr>
      </w:pPr>
      <w:r>
        <w:rPr>
          <w:rFonts w:hint="eastAsia"/>
          <w:color w:val="auto"/>
          <w:lang w:val="en-US" w:eastAsia="zh-CN"/>
        </w:rPr>
        <w:t>项目需求分析与预期产出</w:t>
      </w:r>
    </w:p>
    <w:p>
      <w:pPr>
        <w:pStyle w:val="4"/>
        <w:bidi w:val="0"/>
        <w:ind w:left="0" w:leftChars="0" w:firstLine="640" w:firstLineChars="200"/>
        <w:rPr>
          <w:color w:val="auto"/>
          <w:lang w:val="en-US" w:eastAsia="zh-CN"/>
        </w:rPr>
      </w:pPr>
      <w:r>
        <w:rPr>
          <w:rFonts w:hint="eastAsia"/>
          <w:color w:val="auto"/>
          <w:lang w:val="en-US" w:eastAsia="zh-CN"/>
        </w:rPr>
        <w:t>现状分析</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cs="仿宋_GB2312"/>
          <w:color w:val="auto"/>
          <w:szCs w:val="32"/>
          <w:lang w:eastAsia="zh-CN"/>
        </w:rPr>
      </w:pPr>
      <w:r>
        <w:rPr>
          <w:rFonts w:hint="eastAsia" w:ascii="Times New Roman" w:hAnsi="Times New Roman" w:eastAsia="仿宋_GB2312" w:cs="仿宋_GB2312"/>
          <w:color w:val="auto"/>
          <w:szCs w:val="32"/>
        </w:rPr>
        <w:t>综述</w:t>
      </w:r>
      <w:r>
        <w:rPr>
          <w:rFonts w:hint="eastAsia" w:cs="仿宋_GB2312"/>
          <w:color w:val="auto"/>
          <w:szCs w:val="32"/>
          <w:lang w:eastAsia="zh-CN"/>
        </w:rPr>
        <w:t>项目相关区域农村电网规模、</w:t>
      </w:r>
      <w:r>
        <w:rPr>
          <w:rFonts w:hint="eastAsia" w:ascii="Times New Roman" w:hAnsi="Times New Roman" w:eastAsia="仿宋_GB2312" w:cs="仿宋_GB2312"/>
          <w:color w:val="auto"/>
          <w:szCs w:val="32"/>
        </w:rPr>
        <w:t>网架结构、供电能力</w:t>
      </w:r>
      <w:r>
        <w:rPr>
          <w:rFonts w:hint="eastAsia" w:cs="仿宋_GB2312"/>
          <w:color w:val="auto"/>
          <w:szCs w:val="32"/>
          <w:lang w:eastAsia="zh-CN"/>
        </w:rPr>
        <w:t>、往年负荷及电量情况、电力系统发展规划情况、分布式可再生能源接入消纳情况等。对</w:t>
      </w:r>
      <w:r>
        <w:rPr>
          <w:rFonts w:hint="eastAsia" w:cs="仿宋_GB2312"/>
          <w:color w:val="auto"/>
          <w:szCs w:val="32"/>
          <w:lang w:val="en-US" w:eastAsia="zh-CN"/>
        </w:rPr>
        <w:t>35千伏及以上电压等级项目，应明确项目</w:t>
      </w:r>
      <w:r>
        <w:rPr>
          <w:rFonts w:hint="eastAsia" w:cs="仿宋_GB2312"/>
          <w:color w:val="auto"/>
          <w:szCs w:val="32"/>
          <w:lang w:eastAsia="zh-CN"/>
        </w:rPr>
        <w:t>在电力系统中的功能定位，确定合理的供电范围。</w:t>
      </w:r>
    </w:p>
    <w:p>
      <w:pPr>
        <w:pStyle w:val="4"/>
        <w:bidi w:val="0"/>
        <w:rPr>
          <w:color w:val="auto"/>
          <w:lang w:val="en-US" w:eastAsia="zh-CN"/>
        </w:rPr>
      </w:pPr>
      <w:bookmarkStart w:id="37" w:name="_Toc13881"/>
      <w:bookmarkStart w:id="38" w:name="_Toc917"/>
      <w:bookmarkStart w:id="39" w:name="_Toc3094"/>
      <w:bookmarkStart w:id="40" w:name="_Toc24303"/>
      <w:bookmarkStart w:id="41" w:name="_Toc1370"/>
      <w:bookmarkStart w:id="42" w:name="_Toc2767"/>
      <w:r>
        <w:rPr>
          <w:rFonts w:hint="eastAsia"/>
          <w:color w:val="auto"/>
          <w:lang w:val="en-US" w:eastAsia="zh-CN"/>
        </w:rPr>
        <w:t>电力负荷预测</w:t>
      </w:r>
    </w:p>
    <w:p>
      <w:pPr>
        <w:rPr>
          <w:rFonts w:hint="eastAsia"/>
          <w:color w:val="auto"/>
          <w:lang w:val="en-US" w:eastAsia="zh-CN"/>
        </w:rPr>
      </w:pPr>
      <w:r>
        <w:rPr>
          <w:rFonts w:hint="eastAsia"/>
          <w:color w:val="auto"/>
          <w:lang w:val="en-US" w:eastAsia="zh-CN"/>
        </w:rPr>
        <w:t>综合产业布局、人口集聚、终端用能结构调整等因素，提出电力需求预测，开展电力平衡分析。</w:t>
      </w:r>
    </w:p>
    <w:p>
      <w:pPr>
        <w:widowControl w:val="0"/>
        <w:numPr>
          <w:ilvl w:val="1"/>
          <w:numId w:val="1"/>
        </w:numPr>
        <w:bidi w:val="0"/>
        <w:spacing w:line="560" w:lineRule="exact"/>
        <w:ind w:left="0" w:firstLine="640" w:firstLineChars="200"/>
        <w:jc w:val="both"/>
        <w:outlineLvl w:val="1"/>
        <w:rPr>
          <w:rFonts w:hint="eastAsia" w:ascii="Times New Roman" w:hAnsi="Times New Roman" w:eastAsia="楷体_GB2312" w:cs="Times New Roman"/>
          <w:color w:val="auto"/>
          <w:kern w:val="0"/>
          <w:sz w:val="32"/>
          <w:szCs w:val="32"/>
          <w:lang w:val="en-US" w:eastAsia="zh-CN" w:bidi="ar-SA"/>
        </w:rPr>
      </w:pPr>
      <w:r>
        <w:rPr>
          <w:rFonts w:hint="eastAsia" w:ascii="Times New Roman" w:hAnsi="Times New Roman" w:eastAsia="楷体_GB2312" w:cs="Times New Roman"/>
          <w:color w:val="auto"/>
          <w:kern w:val="0"/>
          <w:sz w:val="32"/>
          <w:szCs w:val="32"/>
          <w:lang w:val="en-US" w:eastAsia="zh-CN" w:bidi="ar-SA"/>
        </w:rPr>
        <w:t>建设内容和规模</w:t>
      </w:r>
    </w:p>
    <w:p>
      <w:pPr>
        <w:bidi w:val="0"/>
        <w:rPr>
          <w:rFonts w:hint="eastAsia"/>
          <w:color w:val="auto"/>
          <w:lang w:val="en-US" w:eastAsia="zh-CN"/>
        </w:rPr>
      </w:pPr>
      <w:r>
        <w:rPr>
          <w:rFonts w:hint="eastAsia"/>
          <w:color w:val="auto"/>
          <w:lang w:val="en-US" w:eastAsia="zh-CN"/>
        </w:rPr>
        <w:t>对35千伏及以上电压等级项目，研究明确接入系统方案、一次系统、二次系统。</w:t>
      </w:r>
    </w:p>
    <w:p>
      <w:pPr>
        <w:bidi w:val="0"/>
        <w:rPr>
          <w:rFonts w:hint="eastAsia" w:ascii="Times New Roman" w:hAnsi="Times New Roman"/>
          <w:color w:val="auto"/>
          <w:lang w:val="en-US" w:eastAsia="zh-CN"/>
        </w:rPr>
      </w:pPr>
      <w:r>
        <w:rPr>
          <w:rFonts w:hint="eastAsia"/>
          <w:color w:val="auto"/>
          <w:lang w:val="en-US" w:eastAsia="zh-CN"/>
        </w:rPr>
        <w:t>接入系统方案。</w:t>
      </w:r>
      <w:r>
        <w:rPr>
          <w:rFonts w:hint="eastAsia" w:ascii="Times New Roman" w:hAnsi="Times New Roman"/>
          <w:color w:val="auto"/>
          <w:lang w:val="en-US" w:eastAsia="zh-CN"/>
        </w:rPr>
        <w:t>对涉及新增出线等需调整原接入系统方案的项目，应根据农村电网规划、供电可靠性分析、站址周边电网情况及线路路径条件等因素，提出多个接入系统方案，通过技术经济比选确定推荐方案，并对接入系统方案的远期适应性进行分析。</w:t>
      </w:r>
    </w:p>
    <w:p>
      <w:pPr>
        <w:bidi w:val="0"/>
        <w:rPr>
          <w:rFonts w:hint="eastAsia" w:ascii="Times New Roman" w:hAnsi="Times New Roman"/>
          <w:color w:val="auto"/>
          <w:lang w:val="en-US" w:eastAsia="zh-CN"/>
        </w:rPr>
      </w:pPr>
      <w:r>
        <w:rPr>
          <w:rFonts w:hint="eastAsia"/>
          <w:color w:val="auto"/>
          <w:lang w:val="en-US" w:eastAsia="zh-CN"/>
        </w:rPr>
        <w:t>一次系统。</w:t>
      </w:r>
      <w:r>
        <w:rPr>
          <w:rFonts w:hint="eastAsia" w:ascii="Times New Roman" w:hAnsi="Times New Roman"/>
          <w:color w:val="auto"/>
          <w:lang w:val="en-US" w:eastAsia="zh-CN"/>
        </w:rPr>
        <w:t>在电力负荷预测基础上，经过多方案比选，提出本项目建设规模，包括变压器容量、台数（本期及最终规模）</w:t>
      </w:r>
      <w:r>
        <w:rPr>
          <w:rFonts w:hint="eastAsia"/>
          <w:color w:val="auto"/>
          <w:lang w:val="en-US" w:eastAsia="zh-CN"/>
        </w:rPr>
        <w:t>、中性点接地方式</w:t>
      </w:r>
      <w:r>
        <w:rPr>
          <w:rFonts w:hint="eastAsia" w:ascii="Times New Roman" w:hAnsi="Times New Roman"/>
          <w:color w:val="auto"/>
          <w:lang w:val="en-US" w:eastAsia="zh-CN"/>
        </w:rPr>
        <w:t>，各侧电压出线回路数和方向（本期及最终规模）、导线型号及长度、无功补偿配置等。说明相关配套工程项目，如对侧间隔等。对推荐方案需进行电气计算和校验分析。对原址重建或改造项目，需论述项目建设期内的过渡方案。对分阶段实施的网架完善工程，应说明本期项目与目标网架的衔接性。</w:t>
      </w:r>
    </w:p>
    <w:p>
      <w:pPr>
        <w:bidi w:val="0"/>
        <w:rPr>
          <w:rFonts w:hint="eastAsia" w:ascii="Times New Roman" w:hAnsi="Times New Roman"/>
          <w:color w:val="auto"/>
          <w:lang w:val="en-US" w:eastAsia="zh-CN"/>
        </w:rPr>
      </w:pPr>
      <w:r>
        <w:rPr>
          <w:rFonts w:hint="eastAsia"/>
          <w:color w:val="auto"/>
          <w:lang w:val="en-US" w:eastAsia="zh-CN"/>
        </w:rPr>
        <w:t>二次系统。</w:t>
      </w:r>
      <w:r>
        <w:rPr>
          <w:rFonts w:hint="eastAsia" w:ascii="Times New Roman" w:hAnsi="Times New Roman"/>
          <w:color w:val="auto"/>
          <w:lang w:val="en-US" w:eastAsia="zh-CN"/>
        </w:rPr>
        <w:t>研究提出系统继电保护方案、安全自动装置配置方案、通信方案、调度自动化方案、电能计量方案等。</w:t>
      </w:r>
    </w:p>
    <w:p>
      <w:pPr>
        <w:bidi w:val="0"/>
        <w:rPr>
          <w:rFonts w:hint="eastAsia"/>
          <w:color w:val="auto"/>
          <w:lang w:val="en-US" w:eastAsia="zh-CN"/>
        </w:rPr>
      </w:pPr>
      <w:r>
        <w:rPr>
          <w:rFonts w:hint="eastAsia"/>
          <w:color w:val="auto"/>
          <w:lang w:val="en-US" w:eastAsia="zh-CN"/>
        </w:rPr>
        <w:t>对35千伏以下电压等级项目，分电压等级明确新建或改造配电变压器台数和总容量、线路长度和导线截面、低压无功补偿装置台数和总容量、户表改造数量等主要建设规模，必要时可列表说明。在分析必要性的基础上，提出二次系统的要求。</w:t>
      </w:r>
    </w:p>
    <w:p>
      <w:pPr>
        <w:pStyle w:val="4"/>
        <w:bidi w:val="0"/>
        <w:rPr>
          <w:rFonts w:hint="eastAsia"/>
          <w:color w:val="auto"/>
          <w:lang w:val="en-US" w:eastAsia="zh-CN"/>
        </w:rPr>
      </w:pPr>
      <w:r>
        <w:rPr>
          <w:rFonts w:hint="eastAsia"/>
          <w:color w:val="auto"/>
          <w:lang w:val="en-US" w:eastAsia="zh-CN"/>
        </w:rPr>
        <w:t>项目预期产出及成效</w:t>
      </w:r>
    </w:p>
    <w:p>
      <w:pPr>
        <w:pStyle w:val="2"/>
        <w:rPr>
          <w:rFonts w:hint="eastAsia" w:ascii="Times New Roman" w:hAnsi="Times New Roman"/>
          <w:color w:val="auto"/>
          <w:lang w:val="en-US" w:eastAsia="zh-CN"/>
        </w:rPr>
      </w:pPr>
      <w:r>
        <w:rPr>
          <w:rFonts w:hint="eastAsia" w:ascii="Times New Roman" w:hAnsi="Times New Roman"/>
          <w:color w:val="auto"/>
          <w:lang w:val="en-US" w:eastAsia="zh-CN"/>
        </w:rPr>
        <w:t>研究提出项目投运后新增供电能力、预计年供电量，满足农村地区用电需求</w:t>
      </w:r>
      <w:r>
        <w:rPr>
          <w:rFonts w:hint="eastAsia"/>
          <w:color w:val="auto"/>
          <w:lang w:val="en-US" w:eastAsia="zh-CN"/>
        </w:rPr>
        <w:t>、提升供电可靠性、电能质量等</w:t>
      </w:r>
      <w:r>
        <w:rPr>
          <w:rFonts w:hint="eastAsia" w:ascii="Times New Roman" w:hAnsi="Times New Roman"/>
          <w:color w:val="auto"/>
          <w:lang w:val="en-US" w:eastAsia="zh-CN"/>
        </w:rPr>
        <w:t>情况。</w:t>
      </w:r>
    </w:p>
    <w:p>
      <w:pPr>
        <w:pStyle w:val="3"/>
        <w:bidi w:val="0"/>
        <w:rPr>
          <w:rFonts w:hint="default" w:ascii="Times New Roman" w:hAnsi="Times New Roman"/>
          <w:color w:val="auto"/>
          <w:lang w:val="en-US" w:eastAsia="zh-CN"/>
        </w:rPr>
      </w:pPr>
      <w:r>
        <w:rPr>
          <w:rFonts w:hint="eastAsia" w:ascii="Times New Roman" w:hAnsi="Times New Roman"/>
          <w:color w:val="auto"/>
          <w:lang w:val="en-US" w:eastAsia="zh-CN"/>
        </w:rPr>
        <w:t>项目选址与要素保障</w:t>
      </w:r>
    </w:p>
    <w:p>
      <w:pPr>
        <w:pStyle w:val="4"/>
        <w:bidi w:val="0"/>
        <w:rPr>
          <w:rFonts w:hint="default"/>
          <w:color w:val="auto"/>
          <w:lang w:val="en-US" w:eastAsia="zh-CN"/>
        </w:rPr>
      </w:pPr>
      <w:r>
        <w:rPr>
          <w:rFonts w:hint="eastAsia"/>
          <w:color w:val="auto"/>
          <w:lang w:val="en-US" w:eastAsia="zh-CN"/>
        </w:rPr>
        <w:t>项目选址或选线</w:t>
      </w:r>
    </w:p>
    <w:p>
      <w:pPr>
        <w:bidi w:val="0"/>
        <w:rPr>
          <w:rFonts w:hint="eastAsia"/>
          <w:color w:val="auto"/>
          <w:lang w:val="en-US" w:eastAsia="zh-CN"/>
        </w:rPr>
      </w:pPr>
      <w:r>
        <w:rPr>
          <w:rFonts w:hint="eastAsia"/>
          <w:color w:val="auto"/>
          <w:lang w:val="en-US" w:eastAsia="zh-CN"/>
        </w:rPr>
        <w:t>变电站选址。论述地方规划、地形地貌、压覆矿产、工程地质、土石方工程、环境、水文、历史文物、进出线条件、站用电源、交通运输、土地用途、周边设施影响等多种因素，按照靠近负荷中心、与各级各类国土空间规划协调，具有适宜的地质、地形地貌、环境、水文、交通等条件，尽量不占用基本农田等原则，宜提出两个及以上站址方案，并提出推荐站址。明确站址具体位置及土地性质。特殊情况下（如环境所限），对唯一可行站址方案进行论证。</w:t>
      </w:r>
    </w:p>
    <w:p>
      <w:pPr>
        <w:bidi w:val="0"/>
        <w:rPr>
          <w:rFonts w:hint="eastAsia"/>
          <w:color w:val="auto"/>
          <w:lang w:val="en-US" w:eastAsia="zh-CN"/>
        </w:rPr>
      </w:pPr>
      <w:r>
        <w:rPr>
          <w:rFonts w:hint="eastAsia"/>
          <w:color w:val="auto"/>
          <w:lang w:val="en-US" w:eastAsia="zh-CN"/>
        </w:rPr>
        <w:t>线路路径方案。根据国土空间规划、环保要求等外部条件，在落实有关协议的基础上，研究提出路径方案、线路长度及架设方式。线路路径选择时，应避开自然灾害多发地区、采空区、环境敏感区域，自然保护区和风景名胜区的核心区和缓冲区，以及军事设施、大型工矿企业及重要设施。充分考虑与电台、机场、弱电线路等邻近设施的相互影响，确需穿越耕地时应尽量避免或减少对农业机械化耕作的影响，充分利用现有的交通条件，并进行多方案的综合技术经济比较。10千伏及以下线路根据实际情况简化路径方案比较。选择线路长度短、对城乡建设规划影响小、投资省、方便长期运行维护的路径方案作为推荐方案。</w:t>
      </w:r>
    </w:p>
    <w:p>
      <w:pPr>
        <w:pStyle w:val="4"/>
        <w:bidi w:val="0"/>
        <w:rPr>
          <w:rFonts w:hint="eastAsia"/>
          <w:color w:val="auto"/>
          <w:lang w:val="en-US" w:eastAsia="zh-CN"/>
        </w:rPr>
      </w:pPr>
      <w:r>
        <w:rPr>
          <w:rFonts w:hint="eastAsia"/>
          <w:color w:val="auto"/>
          <w:lang w:val="en-US" w:eastAsia="zh-CN"/>
        </w:rPr>
        <w:t>项目建设条件</w:t>
      </w:r>
    </w:p>
    <w:p>
      <w:pPr>
        <w:rPr>
          <w:rFonts w:hint="eastAsia"/>
          <w:color w:val="auto"/>
          <w:lang w:val="en-US" w:eastAsia="zh-CN"/>
        </w:rPr>
      </w:pPr>
      <w:r>
        <w:rPr>
          <w:rFonts w:hint="eastAsia"/>
          <w:color w:val="auto"/>
          <w:lang w:val="en-US" w:eastAsia="zh-CN"/>
        </w:rPr>
        <w:t>分析项目所在区域的自然环境、交通运输、公用工程等建设条件。其中，自然环境条件包括地形地貌、气象、水文、泥沙、地质、地震、防洪等；交通运输条件包括铁路、公路、港口、机场、管道等；公用工程条件包括周边市政道路、水、电、气、热、消防和通信等。阐述施工条件、生活配套设施和公共服务依托条件等。</w:t>
      </w:r>
    </w:p>
    <w:p>
      <w:pPr>
        <w:pStyle w:val="4"/>
        <w:bidi w:val="0"/>
        <w:rPr>
          <w:rFonts w:hint="default"/>
          <w:color w:val="auto"/>
          <w:lang w:val="en-US" w:eastAsia="zh-CN"/>
        </w:rPr>
      </w:pPr>
      <w:r>
        <w:rPr>
          <w:rFonts w:hint="eastAsia"/>
          <w:color w:val="auto"/>
          <w:lang w:val="en-US" w:eastAsia="zh-CN"/>
        </w:rPr>
        <w:t>要素保障分析</w:t>
      </w:r>
    </w:p>
    <w:p>
      <w:pPr>
        <w:rPr>
          <w:rFonts w:hint="default"/>
          <w:color w:val="auto"/>
          <w:lang w:val="en-US" w:eastAsia="zh-CN"/>
        </w:rPr>
      </w:pPr>
      <w:r>
        <w:rPr>
          <w:rFonts w:hint="default"/>
          <w:color w:val="auto"/>
          <w:lang w:val="en-US" w:eastAsia="zh-CN"/>
        </w:rPr>
        <w:t>土地要素保障。分析</w:t>
      </w:r>
      <w:r>
        <w:rPr>
          <w:rFonts w:hint="eastAsia"/>
          <w:color w:val="auto"/>
          <w:lang w:val="en-US" w:eastAsia="zh-CN"/>
        </w:rPr>
        <w:t>与</w:t>
      </w:r>
      <w:r>
        <w:rPr>
          <w:rFonts w:hint="default"/>
          <w:color w:val="auto"/>
          <w:lang w:val="en-US" w:eastAsia="zh-CN"/>
        </w:rPr>
        <w:t>需新增用地的项目相关的国土空间规划、建设用地控制指标等土地要素保障条件。说明项目用地总体情况，包括地上（下）物情况等；涉及占用永久基本农田的，说明永久基本农田占用补划情况。</w:t>
      </w:r>
    </w:p>
    <w:p>
      <w:pPr>
        <w:rPr>
          <w:rFonts w:hint="default"/>
          <w:color w:val="auto"/>
          <w:lang w:val="en-US" w:eastAsia="zh-CN"/>
        </w:rPr>
      </w:pPr>
      <w:r>
        <w:rPr>
          <w:rFonts w:hint="default"/>
          <w:color w:val="auto"/>
          <w:lang w:val="en-US" w:eastAsia="zh-CN"/>
        </w:rPr>
        <w:t>资源环境要素保障。分析项目水资源、能源、大气环境、生态等承载能力及其保障条件，以及取水总量、能耗、碳排放强度和污染减排指标控制要求等，说明是否存在环境敏感区和环境制约因素。</w:t>
      </w:r>
    </w:p>
    <w:p>
      <w:pPr>
        <w:rPr>
          <w:rFonts w:hint="default"/>
          <w:color w:val="auto"/>
          <w:lang w:val="en-US" w:eastAsia="zh-CN"/>
        </w:rPr>
      </w:pPr>
      <w:r>
        <w:rPr>
          <w:rFonts w:hint="eastAsia"/>
          <w:color w:val="auto"/>
          <w:lang w:val="en-US" w:eastAsia="zh-CN"/>
        </w:rPr>
        <w:t>项目单位应根据项目具体情况取得</w:t>
      </w:r>
      <w:r>
        <w:rPr>
          <w:rFonts w:hint="default"/>
          <w:color w:val="auto"/>
          <w:lang w:val="en-US" w:eastAsia="zh-CN"/>
        </w:rPr>
        <w:t>规划、国土、林业等部门</w:t>
      </w:r>
      <w:r>
        <w:rPr>
          <w:rFonts w:hint="eastAsia"/>
          <w:color w:val="auto"/>
          <w:lang w:val="en-US" w:eastAsia="zh-CN"/>
        </w:rPr>
        <w:t>关于项目</w:t>
      </w:r>
      <w:r>
        <w:rPr>
          <w:rFonts w:hint="default"/>
          <w:color w:val="auto"/>
          <w:lang w:val="en-US" w:eastAsia="zh-CN"/>
        </w:rPr>
        <w:t>站址</w:t>
      </w:r>
      <w:r>
        <w:rPr>
          <w:rFonts w:hint="eastAsia"/>
          <w:color w:val="auto"/>
          <w:lang w:val="en-US" w:eastAsia="zh-CN"/>
        </w:rPr>
        <w:t>（配变落点）</w:t>
      </w:r>
      <w:r>
        <w:rPr>
          <w:rFonts w:hint="default"/>
          <w:color w:val="auto"/>
          <w:lang w:val="en-US" w:eastAsia="zh-CN"/>
        </w:rPr>
        <w:t>及路径的</w:t>
      </w:r>
      <w:r>
        <w:rPr>
          <w:rFonts w:hint="eastAsia"/>
          <w:color w:val="auto"/>
          <w:lang w:val="en-US" w:eastAsia="zh-CN"/>
        </w:rPr>
        <w:t>用地、用林</w:t>
      </w:r>
      <w:r>
        <w:rPr>
          <w:rFonts w:hint="default"/>
          <w:color w:val="auto"/>
          <w:lang w:val="en-US" w:eastAsia="zh-CN"/>
        </w:rPr>
        <w:t>、环保、水保等相关协议</w:t>
      </w:r>
      <w:r>
        <w:rPr>
          <w:rFonts w:hint="eastAsia"/>
          <w:color w:val="auto"/>
          <w:lang w:val="en-US" w:eastAsia="zh-CN"/>
        </w:rPr>
        <w:t>，</w:t>
      </w:r>
      <w:r>
        <w:rPr>
          <w:rFonts w:hint="default"/>
          <w:lang w:val="en-US" w:eastAsia="zh-CN"/>
        </w:rPr>
        <w:t>省级能源主管部门应加强统筹协调</w:t>
      </w:r>
      <w:r>
        <w:rPr>
          <w:rFonts w:hint="default"/>
          <w:color w:val="auto"/>
          <w:lang w:val="en-US" w:eastAsia="zh-CN"/>
        </w:rPr>
        <w:t>。</w:t>
      </w:r>
    </w:p>
    <w:p>
      <w:pPr>
        <w:pStyle w:val="3"/>
        <w:bidi w:val="0"/>
        <w:rPr>
          <w:rFonts w:hint="eastAsia"/>
          <w:color w:val="auto"/>
          <w:lang w:val="en-US" w:eastAsia="zh-CN"/>
        </w:rPr>
      </w:pPr>
      <w:r>
        <w:rPr>
          <w:rFonts w:hint="eastAsia"/>
          <w:color w:val="auto"/>
          <w:lang w:val="en-US" w:eastAsia="zh-CN"/>
        </w:rPr>
        <w:t>项目建设方案</w:t>
      </w:r>
    </w:p>
    <w:p>
      <w:pPr>
        <w:pStyle w:val="4"/>
        <w:bidi w:val="0"/>
        <w:rPr>
          <w:rFonts w:hint="eastAsia"/>
          <w:color w:val="auto"/>
          <w:lang w:val="en-US" w:eastAsia="zh-CN"/>
        </w:rPr>
      </w:pPr>
      <w:r>
        <w:rPr>
          <w:rFonts w:hint="eastAsia"/>
          <w:color w:val="auto"/>
          <w:lang w:val="en-US" w:eastAsia="zh-CN"/>
        </w:rPr>
        <w:t>变电工程</w:t>
      </w:r>
    </w:p>
    <w:p>
      <w:pPr>
        <w:rPr>
          <w:rFonts w:hint="default"/>
          <w:color w:val="auto"/>
          <w:lang w:val="en-US" w:eastAsia="zh-CN"/>
        </w:rPr>
      </w:pPr>
      <w:r>
        <w:rPr>
          <w:rFonts w:hint="eastAsia"/>
          <w:color w:val="auto"/>
          <w:lang w:val="en-US" w:eastAsia="zh-CN"/>
        </w:rPr>
        <w:t>对35千伏及以上电压等级项目，研究明确总平面布置方案、电气主接线、设备选型、电气二次、站区规划等。</w:t>
      </w:r>
    </w:p>
    <w:p>
      <w:pPr>
        <w:bidi w:val="0"/>
        <w:rPr>
          <w:rFonts w:hint="eastAsia"/>
          <w:color w:val="auto"/>
          <w:lang w:val="en-US" w:eastAsia="zh-CN"/>
        </w:rPr>
      </w:pPr>
      <w:r>
        <w:rPr>
          <w:rFonts w:hint="eastAsia"/>
          <w:color w:val="auto"/>
          <w:lang w:val="en-US" w:eastAsia="zh-CN"/>
        </w:rPr>
        <w:t>总平面布置方案。在满足安全可靠的前提下，以节约占地和减少工程量为目标，提出变电站电气总平面布置方案。总平面布置应充分考虑电气设备布置需求，并考虑运输、消防、排水等需要，紧凑布置、节约用地。变电站优先采用半户外式布置。</w:t>
      </w:r>
    </w:p>
    <w:p>
      <w:pPr>
        <w:bidi w:val="0"/>
        <w:rPr>
          <w:rFonts w:hint="eastAsia"/>
          <w:color w:val="auto"/>
          <w:lang w:val="en-US" w:eastAsia="zh-CN"/>
        </w:rPr>
      </w:pPr>
      <w:r>
        <w:rPr>
          <w:rFonts w:hint="eastAsia"/>
          <w:color w:val="auto"/>
          <w:lang w:val="en-US" w:eastAsia="zh-CN"/>
        </w:rPr>
        <w:t>电气主接线。根据电力系统规划及变电站的功能定位，按照安全可靠、运行灵活、节约占地及投资、近远期结合等原则，提出变电站各电压等级电气主接线。</w:t>
      </w:r>
    </w:p>
    <w:p>
      <w:pPr>
        <w:bidi w:val="0"/>
        <w:rPr>
          <w:rFonts w:hint="eastAsia"/>
          <w:color w:val="auto"/>
          <w:lang w:val="en-US" w:eastAsia="zh-CN"/>
        </w:rPr>
      </w:pPr>
      <w:r>
        <w:rPr>
          <w:rFonts w:hint="eastAsia"/>
          <w:color w:val="auto"/>
          <w:lang w:val="en-US" w:eastAsia="zh-CN"/>
        </w:rPr>
        <w:t>设备选型。根据变电站负荷性质、环境条件等，按照资源节约、经济合理等原则进行变压器、断路器、电抗器、电容器等主要电气设备选择和配电装置布置方案设计。</w:t>
      </w:r>
    </w:p>
    <w:p>
      <w:pPr>
        <w:bidi w:val="0"/>
        <w:rPr>
          <w:rFonts w:hint="eastAsia"/>
          <w:color w:val="auto"/>
          <w:lang w:val="en-US" w:eastAsia="zh-CN"/>
        </w:rPr>
      </w:pPr>
      <w:r>
        <w:rPr>
          <w:rFonts w:hint="eastAsia"/>
          <w:color w:val="auto"/>
          <w:lang w:val="en-US" w:eastAsia="zh-CN"/>
        </w:rPr>
        <w:t>电气二次。提出变电站计算机监控系统、元件保护、交直流电源系统、二次设备布置等电气二次方案。</w:t>
      </w:r>
    </w:p>
    <w:p>
      <w:pPr>
        <w:bidi w:val="0"/>
        <w:rPr>
          <w:rFonts w:hint="eastAsia"/>
          <w:color w:val="auto"/>
          <w:lang w:val="en-US" w:eastAsia="zh-CN"/>
        </w:rPr>
      </w:pPr>
      <w:r>
        <w:rPr>
          <w:rFonts w:hint="eastAsia"/>
          <w:color w:val="auto"/>
          <w:lang w:val="en-US" w:eastAsia="zh-CN"/>
        </w:rPr>
        <w:t>站区规划等。说明站区规划和总布置，建筑规模及结构设想。简述变电站供排水、暖通和消防等设施。简述变电站防雷接地措施。根据需要进行反恐配置。</w:t>
      </w:r>
    </w:p>
    <w:p>
      <w:pPr>
        <w:pStyle w:val="2"/>
        <w:rPr>
          <w:rFonts w:hint="default"/>
          <w:color w:val="auto"/>
          <w:lang w:val="en-US" w:eastAsia="zh-CN"/>
        </w:rPr>
      </w:pPr>
      <w:r>
        <w:rPr>
          <w:rFonts w:hint="eastAsia"/>
          <w:color w:val="auto"/>
          <w:lang w:val="en-US" w:eastAsia="zh-CN"/>
        </w:rPr>
        <w:t>对35千伏以下电压等级项目，分电压等级明确新建或改造配电变压器台数和总容量、低压无功补偿装置台数和总容量、户表改造数量等，明确各乡镇（或村）的工程规模，必要时可列表说明。</w:t>
      </w:r>
      <w:r>
        <w:rPr>
          <w:rFonts w:hint="default"/>
          <w:color w:val="auto"/>
          <w:lang w:val="en-US" w:eastAsia="zh-CN"/>
        </w:rPr>
        <w:t>配电</w:t>
      </w:r>
      <w:r>
        <w:rPr>
          <w:rFonts w:hint="eastAsia"/>
          <w:color w:val="auto"/>
          <w:lang w:val="en-US" w:eastAsia="zh-CN"/>
        </w:rPr>
        <w:t>变压器</w:t>
      </w:r>
      <w:r>
        <w:rPr>
          <w:rFonts w:hint="default"/>
          <w:color w:val="auto"/>
          <w:lang w:val="en-US" w:eastAsia="zh-CN"/>
        </w:rPr>
        <w:t>优先采用台架式布置</w:t>
      </w:r>
      <w:r>
        <w:rPr>
          <w:rFonts w:hint="eastAsia"/>
          <w:color w:val="auto"/>
          <w:lang w:val="en-US" w:eastAsia="zh-CN"/>
        </w:rPr>
        <w:t>。</w:t>
      </w:r>
    </w:p>
    <w:p>
      <w:pPr>
        <w:pStyle w:val="4"/>
        <w:bidi w:val="0"/>
        <w:rPr>
          <w:rFonts w:hint="eastAsia"/>
          <w:color w:val="auto"/>
          <w:lang w:val="en-US" w:eastAsia="zh-CN"/>
        </w:rPr>
      </w:pPr>
      <w:r>
        <w:rPr>
          <w:rFonts w:hint="eastAsia"/>
          <w:color w:val="auto"/>
          <w:lang w:val="en-US" w:eastAsia="zh-CN"/>
        </w:rPr>
        <w:t>线路工程</w:t>
      </w:r>
    </w:p>
    <w:p>
      <w:pPr>
        <w:rPr>
          <w:rFonts w:hint="eastAsia"/>
          <w:color w:val="auto"/>
          <w:lang w:val="en-US" w:eastAsia="zh-CN"/>
        </w:rPr>
      </w:pPr>
      <w:r>
        <w:rPr>
          <w:rFonts w:hint="eastAsia"/>
          <w:color w:val="auto"/>
          <w:lang w:val="en-US" w:eastAsia="zh-CN"/>
        </w:rPr>
        <w:t>对35千伏及以上电压等级项目：</w:t>
      </w:r>
    </w:p>
    <w:p>
      <w:pPr>
        <w:rPr>
          <w:rFonts w:hint="eastAsia"/>
          <w:color w:val="auto"/>
          <w:lang w:val="en-US" w:eastAsia="zh-CN"/>
        </w:rPr>
      </w:pPr>
      <w:r>
        <w:rPr>
          <w:rFonts w:hint="eastAsia"/>
          <w:color w:val="auto"/>
          <w:lang w:val="en-US" w:eastAsia="zh-CN"/>
        </w:rPr>
        <w:t>根据沿线气象资料的数理统计结果及附近已有线路的运行经验确定气温、风速、覆冰、地质、水文、抗震等设计条件。根据工程要求及地形特点确定导线、地线参数和布置方式，提出杆塔、基础型式，优先采用架空线路。</w:t>
      </w:r>
    </w:p>
    <w:p>
      <w:pPr>
        <w:rPr>
          <w:rFonts w:hint="eastAsia"/>
          <w:color w:val="auto"/>
          <w:lang w:val="en-US" w:eastAsia="zh-CN"/>
        </w:rPr>
      </w:pPr>
      <w:r>
        <w:rPr>
          <w:rFonts w:hint="eastAsia"/>
          <w:color w:val="auto"/>
          <w:lang w:val="en-US" w:eastAsia="zh-CN"/>
        </w:rPr>
        <w:t>依据电网污区分布图，根据沿线已有线路的运行经验和污秽调查等确定污区划分，在此基础上考虑合理的绝缘配置及防雷接地要求。</w:t>
      </w:r>
    </w:p>
    <w:p>
      <w:pPr>
        <w:pStyle w:val="2"/>
        <w:rPr>
          <w:rFonts w:hint="eastAsia"/>
          <w:color w:val="auto"/>
          <w:lang w:val="en-US" w:eastAsia="zh-CN"/>
        </w:rPr>
      </w:pPr>
      <w:r>
        <w:rPr>
          <w:rFonts w:hint="eastAsia"/>
          <w:color w:val="auto"/>
          <w:lang w:val="en-US" w:eastAsia="zh-CN"/>
        </w:rPr>
        <w:t>对35千伏以下电压等级项目，分析项目相关区域气温、风速、覆冰、地质、水文、抗震等设计条件，明确导线型号、杆型及基础要求，优先采用架空线路。分电压等级明确新建或改造线路长度和导线型号等，明确各乡镇（或村）的工程规模，必要时可列表说明。</w:t>
      </w:r>
    </w:p>
    <w:p>
      <w:pPr>
        <w:pStyle w:val="4"/>
        <w:rPr>
          <w:rFonts w:hint="eastAsia"/>
          <w:color w:val="auto"/>
          <w:lang w:val="en-US" w:eastAsia="zh-CN"/>
        </w:rPr>
      </w:pPr>
      <w:r>
        <w:rPr>
          <w:rFonts w:hint="eastAsia"/>
          <w:color w:val="auto"/>
          <w:lang w:val="en-US" w:eastAsia="zh-CN"/>
        </w:rPr>
        <w:t>停电过渡方案</w:t>
      </w:r>
    </w:p>
    <w:p>
      <w:pPr>
        <w:pStyle w:val="2"/>
        <w:rPr>
          <w:rFonts w:hint="eastAsia"/>
          <w:color w:val="auto"/>
          <w:lang w:val="en-US" w:eastAsia="zh-CN"/>
        </w:rPr>
      </w:pPr>
      <w:r>
        <w:rPr>
          <w:rFonts w:hint="eastAsia"/>
          <w:color w:val="auto"/>
          <w:lang w:val="en-US" w:eastAsia="zh-CN"/>
        </w:rPr>
        <w:t>说明项目施工过程中的停电过渡方案，初步确定停电时户数。具备条件的地区应采取不停电作业等措施，缩小停电时间和范围，提高供电可靠性。</w:t>
      </w:r>
    </w:p>
    <w:p>
      <w:pPr>
        <w:pStyle w:val="4"/>
        <w:bidi w:val="0"/>
        <w:rPr>
          <w:rFonts w:hint="eastAsia"/>
          <w:color w:val="auto"/>
          <w:lang w:val="en-US" w:eastAsia="zh-CN"/>
        </w:rPr>
      </w:pPr>
      <w:r>
        <w:rPr>
          <w:rFonts w:hint="eastAsia"/>
          <w:color w:val="auto"/>
          <w:lang w:val="en-US" w:eastAsia="zh-CN"/>
        </w:rPr>
        <w:t>用地征收补偿（安置）方案</w:t>
      </w:r>
    </w:p>
    <w:p>
      <w:pPr>
        <w:pStyle w:val="2"/>
        <w:rPr>
          <w:rFonts w:hint="eastAsia"/>
          <w:color w:val="auto"/>
          <w:lang w:val="en-US" w:eastAsia="zh-CN"/>
        </w:rPr>
      </w:pPr>
      <w:r>
        <w:rPr>
          <w:rFonts w:hint="eastAsia"/>
          <w:color w:val="auto"/>
          <w:lang w:val="en-US" w:eastAsia="zh-CN"/>
        </w:rPr>
        <w:t>涉及土地征收的项目，应根据有关法律法规政策规定，提出征收补偿（安置）方案。土地征收补偿（安置）方案应包括征收范围、土地现状、补偿（安置）费用等内容。</w:t>
      </w:r>
    </w:p>
    <w:p>
      <w:pPr>
        <w:pStyle w:val="4"/>
        <w:bidi w:val="0"/>
        <w:rPr>
          <w:rFonts w:hint="eastAsia"/>
          <w:color w:val="auto"/>
          <w:lang w:val="en-US" w:eastAsia="zh-CN"/>
        </w:rPr>
      </w:pPr>
      <w:r>
        <w:rPr>
          <w:rFonts w:hint="eastAsia"/>
          <w:color w:val="auto"/>
          <w:lang w:val="en-US" w:eastAsia="zh-CN"/>
        </w:rPr>
        <w:t>数字化方案</w:t>
      </w:r>
    </w:p>
    <w:p>
      <w:pPr>
        <w:rPr>
          <w:rFonts w:hint="eastAsia"/>
          <w:color w:val="auto"/>
          <w:lang w:val="en-US" w:eastAsia="zh-CN"/>
        </w:rPr>
      </w:pPr>
      <w:r>
        <w:rPr>
          <w:rFonts w:hint="eastAsia"/>
          <w:color w:val="auto"/>
          <w:lang w:val="en-US" w:eastAsia="zh-CN"/>
        </w:rPr>
        <w:t>具备条件的地区和项目可探索开展数字化应用，包括技术、设备、工程、建设管理和运维、网络与数据安全保障等方面，提出以数字化交付为目的，实现设计—施工—运维全过程数字化应用方案。</w:t>
      </w:r>
    </w:p>
    <w:p>
      <w:pPr>
        <w:pStyle w:val="4"/>
        <w:bidi w:val="0"/>
        <w:rPr>
          <w:rFonts w:hint="eastAsia"/>
          <w:color w:val="auto"/>
          <w:lang w:val="en-US" w:eastAsia="zh-CN"/>
        </w:rPr>
      </w:pPr>
      <w:r>
        <w:rPr>
          <w:rFonts w:hint="eastAsia"/>
          <w:color w:val="auto"/>
          <w:lang w:val="en-US" w:eastAsia="zh-CN"/>
        </w:rPr>
        <w:t>建设管理方案</w:t>
      </w:r>
    </w:p>
    <w:p>
      <w:pPr>
        <w:rPr>
          <w:rFonts w:hint="eastAsia"/>
          <w:color w:val="auto"/>
          <w:lang w:val="en-US" w:eastAsia="zh-CN"/>
        </w:rPr>
      </w:pPr>
      <w:r>
        <w:rPr>
          <w:rFonts w:hint="eastAsia"/>
          <w:color w:val="auto"/>
          <w:lang w:val="en-US" w:eastAsia="zh-CN"/>
        </w:rPr>
        <w:t>提出项目建设组织模式和机构设置，制定安全、质量管理方案和验收标准，明确建设安全和质量管理目标和要求。提出拟采用新材料、新设备、新技术、新工艺等提高工程安全质量效益的具体措施。根据项目实际提出拟实施以工代赈的建设任务等。</w:t>
      </w:r>
    </w:p>
    <w:p>
      <w:pPr>
        <w:rPr>
          <w:rFonts w:hint="default"/>
          <w:color w:val="auto"/>
          <w:lang w:val="en-US" w:eastAsia="zh-CN"/>
        </w:rPr>
      </w:pPr>
      <w:r>
        <w:rPr>
          <w:rFonts w:hint="eastAsia"/>
          <w:color w:val="auto"/>
          <w:lang w:val="en-US" w:eastAsia="zh-CN"/>
        </w:rPr>
        <w:t>提出项目建设工期，对项目建设主要时间节点做出时序性安排。提出包括招标范围、招标组织形式和招标方式等在内的项目招标方案。研究提出拟采用的建设管理模式，如代建管理、全过程工程咨询服务、工程总承包（EPC）等。</w:t>
      </w:r>
    </w:p>
    <w:p>
      <w:pPr>
        <w:pStyle w:val="3"/>
        <w:bidi w:val="0"/>
        <w:rPr>
          <w:rFonts w:hint="eastAsia"/>
          <w:color w:val="auto"/>
          <w:lang w:val="en-US" w:eastAsia="zh-CN"/>
        </w:rPr>
      </w:pPr>
      <w:r>
        <w:rPr>
          <w:rFonts w:hint="eastAsia"/>
          <w:color w:val="auto"/>
          <w:lang w:val="en-US" w:eastAsia="zh-CN"/>
        </w:rPr>
        <w:t>项目运营方案</w:t>
      </w:r>
    </w:p>
    <w:bookmarkEnd w:id="37"/>
    <w:bookmarkEnd w:id="38"/>
    <w:bookmarkEnd w:id="39"/>
    <w:bookmarkEnd w:id="40"/>
    <w:bookmarkEnd w:id="41"/>
    <w:bookmarkEnd w:id="42"/>
    <w:p>
      <w:pPr>
        <w:pStyle w:val="4"/>
        <w:bidi w:val="0"/>
        <w:rPr>
          <w:color w:val="auto"/>
          <w:lang w:val="en-US" w:eastAsia="zh-CN"/>
        </w:rPr>
      </w:pPr>
      <w:bookmarkStart w:id="43" w:name="_Toc26166"/>
      <w:bookmarkStart w:id="44" w:name="_Toc28311"/>
      <w:bookmarkStart w:id="45" w:name="_Toc24978"/>
      <w:bookmarkStart w:id="46" w:name="_Toc23615"/>
      <w:bookmarkStart w:id="47" w:name="_Toc5966"/>
      <w:bookmarkStart w:id="48" w:name="_Toc24458"/>
      <w:r>
        <w:rPr>
          <w:rFonts w:hint="eastAsia"/>
          <w:color w:val="auto"/>
          <w:lang w:val="en-US" w:eastAsia="zh-CN"/>
        </w:rPr>
        <w:t>运营</w:t>
      </w:r>
      <w:bookmarkEnd w:id="43"/>
      <w:bookmarkEnd w:id="44"/>
      <w:bookmarkEnd w:id="45"/>
      <w:bookmarkEnd w:id="46"/>
      <w:bookmarkEnd w:id="47"/>
      <w:bookmarkEnd w:id="48"/>
      <w:r>
        <w:rPr>
          <w:rFonts w:hint="eastAsia"/>
          <w:color w:val="auto"/>
          <w:lang w:val="en-US" w:eastAsia="zh-CN"/>
        </w:rPr>
        <w:t>责任主体</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Times New Roman" w:hAnsi="Times New Roman" w:eastAsia="仿宋_GB2312" w:cs="仿宋_GB2312"/>
          <w:color w:val="auto"/>
          <w:szCs w:val="32"/>
        </w:rPr>
      </w:pPr>
      <w:r>
        <w:rPr>
          <w:rFonts w:hint="eastAsia" w:cs="仿宋_GB2312"/>
          <w:color w:val="auto"/>
          <w:szCs w:val="32"/>
          <w:lang w:eastAsia="zh-CN"/>
        </w:rPr>
        <w:t>明确项目运营主体。对于</w:t>
      </w:r>
      <w:r>
        <w:rPr>
          <w:rFonts w:hint="eastAsia" w:ascii="Times New Roman" w:hAnsi="Times New Roman" w:eastAsia="仿宋_GB2312" w:cs="仿宋_GB2312"/>
          <w:color w:val="auto"/>
          <w:szCs w:val="32"/>
        </w:rPr>
        <w:t>委托第三方运营管理的，应提出对第三方的运营管理能力要求</w:t>
      </w:r>
      <w:r>
        <w:rPr>
          <w:rFonts w:hint="eastAsia" w:cs="仿宋_GB2312"/>
          <w:color w:val="auto"/>
          <w:szCs w:val="32"/>
          <w:lang w:eastAsia="zh-CN"/>
        </w:rPr>
        <w:t>，签订</w:t>
      </w:r>
      <w:r>
        <w:rPr>
          <w:rFonts w:hint="eastAsia" w:ascii="Times New Roman" w:hAnsi="Times New Roman" w:eastAsia="仿宋_GB2312" w:cs="仿宋_GB2312"/>
          <w:color w:val="auto"/>
          <w:szCs w:val="32"/>
        </w:rPr>
        <w:t>相关协议，确保项目可持续运营。</w:t>
      </w:r>
    </w:p>
    <w:p>
      <w:pPr>
        <w:pStyle w:val="4"/>
        <w:bidi w:val="0"/>
        <w:rPr>
          <w:rFonts w:hint="default"/>
          <w:color w:val="auto"/>
          <w:lang w:val="en-US" w:eastAsia="zh-CN"/>
        </w:rPr>
      </w:pPr>
      <w:r>
        <w:rPr>
          <w:rFonts w:hint="eastAsia"/>
          <w:color w:val="auto"/>
          <w:lang w:val="en-US" w:eastAsia="zh-CN"/>
        </w:rPr>
        <w:t>运营组织方案</w:t>
      </w:r>
    </w:p>
    <w:p>
      <w:pPr>
        <w:rPr>
          <w:rFonts w:hint="default"/>
          <w:color w:val="auto"/>
          <w:lang w:val="en-US" w:eastAsia="zh-CN"/>
        </w:rPr>
      </w:pPr>
      <w:r>
        <w:rPr>
          <w:rFonts w:hint="eastAsia"/>
          <w:color w:val="auto"/>
          <w:lang w:val="en-US" w:eastAsia="zh-CN"/>
        </w:rPr>
        <w:t>研究提出与项目合规运营要求相匹配的组织机构设置方案、人力资源配置方案、员工培训需求及计划等。</w:t>
      </w:r>
    </w:p>
    <w:p>
      <w:pPr>
        <w:pStyle w:val="4"/>
        <w:bidi w:val="0"/>
        <w:rPr>
          <w:color w:val="auto"/>
          <w:lang w:val="en-US" w:eastAsia="zh-CN"/>
        </w:rPr>
      </w:pPr>
      <w:bookmarkStart w:id="49" w:name="_Toc29833"/>
      <w:bookmarkStart w:id="50" w:name="_Toc28635"/>
      <w:bookmarkStart w:id="51" w:name="_Toc2185"/>
      <w:bookmarkStart w:id="52" w:name="_Toc8275"/>
      <w:bookmarkStart w:id="53" w:name="_Toc10880"/>
      <w:bookmarkStart w:id="54" w:name="_Toc21417"/>
      <w:r>
        <w:rPr>
          <w:rFonts w:hint="eastAsia"/>
          <w:color w:val="auto"/>
          <w:lang w:val="en-US" w:eastAsia="zh-CN"/>
        </w:rPr>
        <w:t>安全保障方案</w:t>
      </w:r>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Times New Roman" w:hAnsi="Times New Roman" w:eastAsia="仿宋_GB2312" w:cs="仿宋_GB2312"/>
          <w:color w:val="auto"/>
          <w:spacing w:val="-6"/>
          <w:szCs w:val="32"/>
        </w:rPr>
      </w:pPr>
      <w:r>
        <w:rPr>
          <w:rFonts w:hint="eastAsia" w:ascii="Times New Roman" w:hAnsi="Times New Roman" w:eastAsia="仿宋_GB2312" w:cs="仿宋_GB2312"/>
          <w:color w:val="auto"/>
          <w:szCs w:val="32"/>
        </w:rPr>
        <w:t>分析项目运营管理中存在的危险因素及其危害程度，明确安全生产责任制，建立安全管理体系，提出劳动安全与卫生、职业健康防范措施，以及项目可能涉及的数据安全、网</w:t>
      </w:r>
      <w:r>
        <w:rPr>
          <w:rFonts w:hint="eastAsia" w:ascii="Times New Roman" w:hAnsi="Times New Roman" w:eastAsia="仿宋_GB2312" w:cs="仿宋_GB2312"/>
          <w:color w:val="auto"/>
          <w:spacing w:val="-6"/>
          <w:szCs w:val="32"/>
        </w:rPr>
        <w:t>络安全的责任制度或措施方案，并制定项目安全应急管理预案。</w:t>
      </w:r>
    </w:p>
    <w:p>
      <w:pPr>
        <w:pStyle w:val="4"/>
        <w:bidi w:val="0"/>
        <w:rPr>
          <w:rFonts w:hint="eastAsia"/>
          <w:color w:val="auto"/>
          <w:lang w:eastAsia="zh-CN"/>
        </w:rPr>
      </w:pPr>
      <w:r>
        <w:rPr>
          <w:rFonts w:hint="eastAsia"/>
          <w:color w:val="auto"/>
          <w:lang w:eastAsia="zh-CN"/>
        </w:rPr>
        <w:t>绩效管理方案</w:t>
      </w:r>
    </w:p>
    <w:p>
      <w:pPr>
        <w:rPr>
          <w:rFonts w:hint="eastAsia"/>
          <w:color w:val="auto"/>
          <w:lang w:eastAsia="zh-CN"/>
        </w:rPr>
      </w:pPr>
      <w:r>
        <w:rPr>
          <w:rFonts w:hint="eastAsia"/>
          <w:color w:val="auto"/>
          <w:lang w:eastAsia="zh-CN"/>
        </w:rPr>
        <w:t>研究提出项目全生命周期关键绩效指标和绩效管理机制。</w:t>
      </w:r>
    </w:p>
    <w:p>
      <w:pPr>
        <w:pStyle w:val="3"/>
        <w:bidi w:val="0"/>
        <w:rPr>
          <w:color w:val="auto"/>
          <w:lang w:val="en-US" w:eastAsia="zh-CN"/>
        </w:rPr>
      </w:pPr>
      <w:bookmarkStart w:id="55" w:name="_Toc21564"/>
      <w:bookmarkStart w:id="56" w:name="_Toc31736"/>
      <w:bookmarkStart w:id="57" w:name="_Toc1305"/>
      <w:bookmarkStart w:id="58" w:name="_Toc24488"/>
      <w:bookmarkStart w:id="59" w:name="_Toc18339"/>
      <w:bookmarkStart w:id="60" w:name="_Toc12157"/>
      <w:r>
        <w:rPr>
          <w:rFonts w:hint="eastAsia"/>
          <w:color w:val="auto"/>
          <w:lang w:val="en-US" w:eastAsia="zh-CN"/>
        </w:rPr>
        <w:t>项目投融资与财务方案</w:t>
      </w:r>
      <w:bookmarkEnd w:id="55"/>
      <w:bookmarkEnd w:id="56"/>
      <w:bookmarkEnd w:id="57"/>
      <w:bookmarkEnd w:id="58"/>
      <w:bookmarkEnd w:id="59"/>
      <w:bookmarkEnd w:id="60"/>
    </w:p>
    <w:p>
      <w:pPr>
        <w:pStyle w:val="4"/>
        <w:bidi w:val="0"/>
        <w:rPr>
          <w:color w:val="auto"/>
          <w:lang w:val="en-US" w:eastAsia="zh-CN"/>
        </w:rPr>
      </w:pPr>
      <w:bookmarkStart w:id="61" w:name="_Toc17889"/>
      <w:bookmarkStart w:id="62" w:name="_Toc7691"/>
      <w:bookmarkStart w:id="63" w:name="_Toc10989"/>
      <w:bookmarkStart w:id="64" w:name="_Toc26707"/>
      <w:bookmarkStart w:id="65" w:name="_Toc17287"/>
      <w:bookmarkStart w:id="66" w:name="_Toc27361"/>
      <w:r>
        <w:rPr>
          <w:rFonts w:hint="eastAsia"/>
          <w:color w:val="auto"/>
          <w:lang w:val="en-US" w:eastAsia="zh-CN"/>
        </w:rPr>
        <w:t>投资估算</w:t>
      </w:r>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val="0"/>
        <w:spacing w:beforeLines="0" w:afterLines="0" w:line="580" w:lineRule="exact"/>
        <w:textAlignment w:val="auto"/>
        <w:rPr>
          <w:color w:val="auto"/>
          <w:lang w:val="en-US" w:eastAsia="zh-CN"/>
        </w:rPr>
      </w:pPr>
      <w:r>
        <w:rPr>
          <w:rFonts w:hint="eastAsia" w:cs="仿宋_GB2312"/>
          <w:color w:val="auto"/>
          <w:szCs w:val="32"/>
          <w:lang w:eastAsia="zh-CN"/>
        </w:rPr>
        <w:t>编制投资估算书，对项目总投资进行估算，并说明投资估算编制依据和编制范围。投资估算书的深度</w:t>
      </w:r>
      <w:r>
        <w:rPr>
          <w:rFonts w:hint="eastAsia"/>
          <w:color w:val="auto"/>
          <w:lang w:val="en-US" w:eastAsia="zh-CN"/>
        </w:rPr>
        <w:t>应能够满足方案比选及控制项目初步设计概算的要求</w:t>
      </w:r>
      <w:bookmarkStart w:id="67" w:name="_Toc22875"/>
      <w:bookmarkStart w:id="68" w:name="_Toc5361"/>
      <w:bookmarkStart w:id="69" w:name="_Toc22267"/>
      <w:bookmarkStart w:id="70" w:name="_Toc26955"/>
      <w:r>
        <w:rPr>
          <w:rFonts w:hint="eastAsia"/>
          <w:color w:val="auto"/>
          <w:lang w:val="en-US" w:eastAsia="zh-CN"/>
        </w:rPr>
        <w:t>，包括但不限于以下内容：项目概况简述、投资估算编制说明、投资估算分析、总估算表、专业汇总估算表、工程估算表、其他费用估算表、建设场地征用及清理费用估算表、勘察设计费明细表、主要设备材料汇总表及设备材料清册等。</w:t>
      </w:r>
      <w:bookmarkEnd w:id="67"/>
      <w:bookmarkEnd w:id="68"/>
      <w:bookmarkEnd w:id="69"/>
      <w:bookmarkEnd w:id="70"/>
    </w:p>
    <w:p>
      <w:pPr>
        <w:bidi w:val="0"/>
        <w:rPr>
          <w:rFonts w:hint="eastAsia"/>
          <w:color w:val="auto"/>
          <w:lang w:val="en-US" w:eastAsia="zh-CN"/>
        </w:rPr>
      </w:pPr>
      <w:bookmarkStart w:id="71" w:name="_Toc24047"/>
      <w:bookmarkStart w:id="72" w:name="_Toc20876"/>
      <w:bookmarkStart w:id="73" w:name="_Toc8718"/>
      <w:bookmarkStart w:id="74" w:name="_Toc29454"/>
      <w:r>
        <w:rPr>
          <w:rFonts w:hint="eastAsia"/>
          <w:color w:val="auto"/>
          <w:lang w:val="en-US" w:eastAsia="zh-CN"/>
        </w:rPr>
        <w:t>投资估算编制说明应包括估算编制依据和编制范围，工程量确定的主要依据和计算原则，执行的定额、指标以及主要设备、材料价格执行文件，建设场地征用及清理费用计算依据或相关标准，依据的技术经济文件和各项费用计算的执行文件，参照执行的农村电网建设相关财务政策等。</w:t>
      </w:r>
      <w:bookmarkEnd w:id="71"/>
      <w:bookmarkEnd w:id="72"/>
      <w:bookmarkEnd w:id="73"/>
      <w:bookmarkEnd w:id="74"/>
      <w:bookmarkStart w:id="75" w:name="_Toc26331"/>
      <w:bookmarkStart w:id="76" w:name="_Toc4806"/>
      <w:bookmarkStart w:id="77" w:name="_Toc1543"/>
      <w:bookmarkStart w:id="78" w:name="_Toc28333"/>
      <w:r>
        <w:rPr>
          <w:rFonts w:hint="eastAsia"/>
          <w:color w:val="auto"/>
          <w:lang w:val="en-US" w:eastAsia="zh-CN"/>
        </w:rPr>
        <w:t>如涉及闲置物资再利用，应明确其财务处理方式并说明理由。</w:t>
      </w:r>
      <w:bookmarkEnd w:id="75"/>
      <w:bookmarkEnd w:id="76"/>
      <w:bookmarkEnd w:id="77"/>
      <w:bookmarkEnd w:id="78"/>
    </w:p>
    <w:p>
      <w:pPr>
        <w:pStyle w:val="4"/>
        <w:bidi w:val="0"/>
        <w:rPr>
          <w:color w:val="auto"/>
          <w:lang w:val="en-US" w:eastAsia="zh-CN"/>
        </w:rPr>
      </w:pPr>
      <w:r>
        <w:rPr>
          <w:rFonts w:hint="eastAsia"/>
          <w:color w:val="auto"/>
          <w:lang w:val="en-US" w:eastAsia="zh-CN"/>
        </w:rPr>
        <w:t>盈利能力分析</w:t>
      </w:r>
    </w:p>
    <w:p>
      <w:pPr>
        <w:rPr>
          <w:color w:val="auto"/>
          <w:lang w:val="en-US" w:eastAsia="zh-CN"/>
        </w:rPr>
      </w:pPr>
      <w:r>
        <w:rPr>
          <w:rFonts w:hint="eastAsia"/>
          <w:color w:val="auto"/>
          <w:lang w:val="en-US" w:eastAsia="zh-CN"/>
        </w:rPr>
        <w:t>35千伏及以上电压等级项目按单个项目、35千伏以下电压等级项目按县域进行财务评价，计算财务内部收益率、财务净现值、投资回收期等指标。对盈利能力较差的项目，从保障民生用电、促进乡村振兴等国民经济评价范畴阐述项目经济可行性。</w:t>
      </w:r>
    </w:p>
    <w:p>
      <w:pPr>
        <w:pStyle w:val="4"/>
        <w:bidi w:val="0"/>
        <w:rPr>
          <w:color w:val="auto"/>
          <w:lang w:val="en-US" w:eastAsia="zh-CN"/>
        </w:rPr>
      </w:pPr>
      <w:bookmarkStart w:id="79" w:name="_Toc28535"/>
      <w:bookmarkStart w:id="80" w:name="_Toc29034"/>
      <w:bookmarkStart w:id="81" w:name="_Toc17685"/>
      <w:bookmarkStart w:id="82" w:name="_Toc18292"/>
      <w:bookmarkStart w:id="83" w:name="_Toc2109"/>
      <w:bookmarkStart w:id="84" w:name="_Toc20607"/>
      <w:r>
        <w:rPr>
          <w:rFonts w:hint="eastAsia"/>
          <w:color w:val="auto"/>
          <w:lang w:val="en-US" w:eastAsia="zh-CN"/>
        </w:rPr>
        <w:t>融资方案</w:t>
      </w:r>
    </w:p>
    <w:p>
      <w:pPr>
        <w:bidi w:val="0"/>
        <w:rPr>
          <w:rFonts w:hint="eastAsia"/>
          <w:color w:val="auto"/>
          <w:lang w:val="en-US" w:eastAsia="zh-CN"/>
        </w:rPr>
      </w:pPr>
      <w:r>
        <w:rPr>
          <w:rFonts w:hint="eastAsia"/>
          <w:color w:val="auto"/>
          <w:lang w:val="en-US" w:eastAsia="zh-CN"/>
        </w:rPr>
        <w:t>说明项目申请中央预算内投资等财政资金的必要性和安排方式，研究提出项目拟采用的融资方案，分析融资结构和资金成本。对于政府资本金注入项目，说明资本金来源和结构、与金融机构对接情况等。</w:t>
      </w:r>
    </w:p>
    <w:p>
      <w:pPr>
        <w:pStyle w:val="4"/>
        <w:bidi w:val="0"/>
        <w:rPr>
          <w:rFonts w:hint="eastAsia"/>
          <w:color w:val="auto"/>
          <w:lang w:val="en-US" w:eastAsia="zh-CN"/>
        </w:rPr>
      </w:pPr>
      <w:r>
        <w:rPr>
          <w:rFonts w:hint="eastAsia"/>
          <w:color w:val="auto"/>
          <w:lang w:val="en-US" w:eastAsia="zh-CN"/>
        </w:rPr>
        <w:t>债务清偿能力分析</w:t>
      </w:r>
    </w:p>
    <w:p>
      <w:pPr>
        <w:bidi w:val="0"/>
        <w:rPr>
          <w:rFonts w:hint="eastAsia"/>
          <w:color w:val="auto"/>
          <w:lang w:val="en-US" w:eastAsia="zh-CN"/>
        </w:rPr>
      </w:pPr>
      <w:r>
        <w:rPr>
          <w:rFonts w:hint="eastAsia"/>
          <w:color w:val="auto"/>
          <w:lang w:val="en-US" w:eastAsia="zh-CN"/>
        </w:rPr>
        <w:t>对于使用债务融资的项目，明确债务清偿测算依据和还本付息资金来源，评价项目法人债务清偿能力，以及是否增加当地政府财政支出负担、引发地方政府隐性债务风险等情况。</w:t>
      </w:r>
    </w:p>
    <w:bookmarkEnd w:id="79"/>
    <w:bookmarkEnd w:id="80"/>
    <w:bookmarkEnd w:id="81"/>
    <w:bookmarkEnd w:id="82"/>
    <w:bookmarkEnd w:id="83"/>
    <w:bookmarkEnd w:id="84"/>
    <w:p>
      <w:pPr>
        <w:pStyle w:val="3"/>
        <w:bidi w:val="0"/>
        <w:rPr>
          <w:color w:val="auto"/>
          <w:lang w:val="en-US" w:eastAsia="zh-CN"/>
        </w:rPr>
      </w:pPr>
      <w:bookmarkStart w:id="85" w:name="_Toc20192"/>
      <w:bookmarkStart w:id="86" w:name="_Toc20770"/>
      <w:bookmarkStart w:id="87" w:name="_Toc18141"/>
      <w:bookmarkStart w:id="88" w:name="_Toc21126"/>
      <w:bookmarkStart w:id="89" w:name="_Toc24478"/>
      <w:bookmarkStart w:id="90" w:name="_Toc4107"/>
      <w:r>
        <w:rPr>
          <w:rFonts w:hint="eastAsia"/>
          <w:color w:val="auto"/>
          <w:lang w:val="en-US" w:eastAsia="zh-CN"/>
        </w:rPr>
        <w:t>项目影响效果分析</w:t>
      </w:r>
      <w:bookmarkEnd w:id="85"/>
      <w:bookmarkEnd w:id="86"/>
      <w:bookmarkEnd w:id="87"/>
      <w:bookmarkEnd w:id="88"/>
      <w:bookmarkEnd w:id="89"/>
      <w:bookmarkEnd w:id="90"/>
    </w:p>
    <w:p>
      <w:pPr>
        <w:pStyle w:val="4"/>
        <w:bidi w:val="0"/>
        <w:rPr>
          <w:color w:val="auto"/>
          <w:lang w:val="en-US" w:eastAsia="zh-CN"/>
        </w:rPr>
      </w:pPr>
      <w:bookmarkStart w:id="91" w:name="_Toc12107"/>
      <w:bookmarkStart w:id="92" w:name="_Toc8772"/>
      <w:bookmarkStart w:id="93" w:name="_Toc31431"/>
      <w:bookmarkStart w:id="94" w:name="_Toc30250"/>
      <w:bookmarkStart w:id="95" w:name="_Toc9193"/>
      <w:bookmarkStart w:id="96" w:name="_Toc12398"/>
      <w:r>
        <w:rPr>
          <w:rFonts w:hint="eastAsia"/>
          <w:color w:val="auto"/>
          <w:lang w:val="en-US" w:eastAsia="zh-CN"/>
        </w:rPr>
        <w:t>经济影响分析</w:t>
      </w:r>
      <w:bookmarkEnd w:id="91"/>
      <w:bookmarkEnd w:id="92"/>
      <w:bookmarkEnd w:id="93"/>
      <w:bookmarkEnd w:id="94"/>
      <w:bookmarkEnd w:id="95"/>
      <w:bookmarkEnd w:id="96"/>
    </w:p>
    <w:p>
      <w:pPr>
        <w:rPr>
          <w:rFonts w:hint="eastAsia"/>
          <w:color w:val="auto"/>
          <w:lang w:val="en-US" w:eastAsia="zh-CN"/>
        </w:rPr>
      </w:pPr>
      <w:r>
        <w:rPr>
          <w:rFonts w:hint="eastAsia"/>
          <w:color w:val="auto"/>
          <w:lang w:val="en-US" w:eastAsia="zh-CN"/>
        </w:rPr>
        <w:t>测算项目对当地经济发展所产生的影响，评价项目的经济合理性。</w:t>
      </w:r>
    </w:p>
    <w:p>
      <w:pPr>
        <w:pStyle w:val="4"/>
        <w:bidi w:val="0"/>
        <w:rPr>
          <w:color w:val="auto"/>
          <w:lang w:val="en-US" w:eastAsia="zh-CN"/>
        </w:rPr>
      </w:pPr>
      <w:r>
        <w:rPr>
          <w:rFonts w:hint="eastAsia"/>
          <w:color w:val="auto"/>
          <w:lang w:val="en-US" w:eastAsia="zh-CN"/>
        </w:rPr>
        <w:t>社会影响分析</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识别项目主要社会影响因素和主要利益相关者，分析不同目标群体的诉求及其对项目的支持程度，评价项目采取以工代赈等方式在带动当地就业、促进技能提升等方面的预期成效，以及促进员工发展、社区发展和社会发展等方面的社会责任，提出减缓负面社会影响的措施或方案。</w:t>
      </w:r>
    </w:p>
    <w:p>
      <w:pPr>
        <w:pStyle w:val="4"/>
        <w:bidi w:val="0"/>
        <w:rPr>
          <w:color w:val="auto"/>
          <w:lang w:val="en-US" w:eastAsia="zh-CN"/>
        </w:rPr>
      </w:pPr>
      <w:bookmarkStart w:id="97" w:name="_Toc32573"/>
      <w:bookmarkStart w:id="98" w:name="_Toc780"/>
      <w:bookmarkStart w:id="99" w:name="_Toc27838"/>
      <w:bookmarkStart w:id="100" w:name="_Toc30319"/>
      <w:bookmarkStart w:id="101" w:name="_Toc8947"/>
      <w:bookmarkStart w:id="102" w:name="_Toc19583"/>
      <w:r>
        <w:rPr>
          <w:rFonts w:hint="eastAsia"/>
          <w:color w:val="auto"/>
          <w:lang w:val="en-US" w:eastAsia="zh-CN"/>
        </w:rPr>
        <w:t>生态环境影响分析</w:t>
      </w:r>
      <w:bookmarkEnd w:id="97"/>
      <w:bookmarkEnd w:id="98"/>
      <w:bookmarkEnd w:id="99"/>
      <w:bookmarkEnd w:id="100"/>
      <w:bookmarkEnd w:id="101"/>
      <w:bookmarkEnd w:id="102"/>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评价项目在污染物排放、地质灾害防治、防洪减灾、水土流失、土地复垦、生态保护、生物多样性和环境敏感区等方面的影响，提出生态环境影响减缓、生态修复和补偿等措施，以及污染物减排措施，评价项目能否满足有关生态环境保护政策要求。</w:t>
      </w:r>
    </w:p>
    <w:p>
      <w:pPr>
        <w:pStyle w:val="4"/>
        <w:bidi w:val="0"/>
        <w:rPr>
          <w:color w:val="auto"/>
          <w:lang w:val="en-US" w:eastAsia="zh-CN"/>
        </w:rPr>
      </w:pPr>
      <w:bookmarkStart w:id="103" w:name="_Toc23351"/>
      <w:bookmarkStart w:id="104" w:name="_Toc15621"/>
      <w:bookmarkStart w:id="105" w:name="_Toc31514"/>
      <w:bookmarkStart w:id="106" w:name="_Toc31764"/>
      <w:bookmarkStart w:id="107" w:name="_Toc26983"/>
      <w:bookmarkStart w:id="108" w:name="_Toc13248"/>
      <w:r>
        <w:rPr>
          <w:rFonts w:hint="eastAsia"/>
          <w:color w:val="auto"/>
          <w:lang w:val="en-US" w:eastAsia="zh-CN"/>
        </w:rPr>
        <w:t>资源和能源利用效果分析</w:t>
      </w:r>
      <w:bookmarkEnd w:id="103"/>
      <w:bookmarkEnd w:id="104"/>
      <w:bookmarkEnd w:id="105"/>
      <w:bookmarkEnd w:id="106"/>
      <w:bookmarkEnd w:id="107"/>
      <w:bookmarkEnd w:id="108"/>
    </w:p>
    <w:p>
      <w:pPr>
        <w:bidi w:val="0"/>
        <w:rPr>
          <w:rFonts w:hint="eastAsia"/>
          <w:color w:val="auto"/>
        </w:rPr>
      </w:pPr>
      <w:r>
        <w:rPr>
          <w:rFonts w:hint="eastAsia"/>
          <w:color w:val="auto"/>
        </w:rPr>
        <w:t>研究项目的废物和污水资源化利用、设备回收利用等情况，提出资源节约</w:t>
      </w:r>
      <w:r>
        <w:rPr>
          <w:rFonts w:hint="eastAsia"/>
          <w:color w:val="auto"/>
          <w:lang w:eastAsia="zh-CN"/>
        </w:rPr>
        <w:t>、</w:t>
      </w:r>
      <w:r>
        <w:rPr>
          <w:rFonts w:hint="eastAsia"/>
          <w:color w:val="auto"/>
        </w:rPr>
        <w:t>节能降耗等方面措施。</w:t>
      </w:r>
    </w:p>
    <w:p>
      <w:pPr>
        <w:pStyle w:val="4"/>
        <w:bidi w:val="0"/>
        <w:rPr>
          <w:rFonts w:hint="eastAsia"/>
          <w:color w:val="auto"/>
          <w:lang w:eastAsia="zh-CN"/>
        </w:rPr>
      </w:pPr>
      <w:r>
        <w:rPr>
          <w:rFonts w:hint="eastAsia"/>
          <w:color w:val="auto"/>
          <w:lang w:eastAsia="zh-CN"/>
        </w:rPr>
        <w:t>碳达峰碳中和分析</w:t>
      </w:r>
    </w:p>
    <w:p>
      <w:pPr>
        <w:rPr>
          <w:rFonts w:hint="eastAsia"/>
          <w:color w:val="auto"/>
          <w:lang w:eastAsia="zh-CN"/>
        </w:rPr>
      </w:pPr>
      <w:r>
        <w:rPr>
          <w:rFonts w:hint="eastAsia"/>
          <w:color w:val="auto"/>
          <w:lang w:eastAsia="zh-CN"/>
        </w:rPr>
        <w:t>从支撑农村分布式可再生能源接入和消纳、推进农村充电基础设施配套电网建设改造、提高农村用能电气化水平等方面，分析项目对所在地区碳达峰碳中和目标实现的影响。</w:t>
      </w:r>
    </w:p>
    <w:p>
      <w:pPr>
        <w:pStyle w:val="3"/>
        <w:bidi w:val="0"/>
        <w:rPr>
          <w:color w:val="auto"/>
          <w:lang w:val="en-US" w:eastAsia="zh-CN"/>
        </w:rPr>
      </w:pPr>
      <w:bookmarkStart w:id="109" w:name="_Toc10418"/>
      <w:bookmarkStart w:id="110" w:name="_Toc8506"/>
      <w:bookmarkStart w:id="111" w:name="_Toc13413"/>
      <w:bookmarkStart w:id="112" w:name="_Toc14174"/>
      <w:bookmarkStart w:id="113" w:name="_Toc25569"/>
      <w:bookmarkStart w:id="114" w:name="_Toc24080"/>
      <w:r>
        <w:rPr>
          <w:rFonts w:hint="eastAsia"/>
          <w:color w:val="auto"/>
          <w:lang w:val="en-US" w:eastAsia="zh-CN"/>
        </w:rPr>
        <w:t>项目风险管控方案</w:t>
      </w:r>
      <w:bookmarkEnd w:id="109"/>
      <w:bookmarkEnd w:id="110"/>
      <w:bookmarkEnd w:id="111"/>
      <w:bookmarkEnd w:id="112"/>
      <w:bookmarkEnd w:id="113"/>
      <w:bookmarkEnd w:id="114"/>
    </w:p>
    <w:p>
      <w:pPr>
        <w:pStyle w:val="4"/>
        <w:bidi w:val="0"/>
        <w:rPr>
          <w:color w:val="auto"/>
          <w:lang w:val="en-US" w:eastAsia="zh-CN"/>
        </w:rPr>
      </w:pPr>
      <w:bookmarkStart w:id="115" w:name="_Toc471"/>
      <w:bookmarkStart w:id="116" w:name="_Toc28591"/>
      <w:bookmarkStart w:id="117" w:name="_Toc1794"/>
      <w:bookmarkStart w:id="118" w:name="_Toc28788"/>
      <w:bookmarkStart w:id="119" w:name="_Toc9926"/>
      <w:bookmarkStart w:id="120" w:name="_Toc1942"/>
      <w:r>
        <w:rPr>
          <w:rFonts w:hint="eastAsia"/>
          <w:color w:val="auto"/>
          <w:lang w:val="en-US" w:eastAsia="zh-CN"/>
        </w:rPr>
        <w:t>风险识别与评价</w:t>
      </w:r>
      <w:bookmarkEnd w:id="115"/>
      <w:bookmarkEnd w:id="116"/>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识别项目全生命周期的主要风险因素，包括需求、建设、运营、融资、财务、经济、社会、环境、网络与数据安全等方面，分析各风险发生的可能性、损失程度，以及风险承担主体的韧性或脆弱性，判断各风险后果的严重程度，研究确定项目面临的主要风险。</w:t>
      </w:r>
      <w:bookmarkEnd w:id="117"/>
      <w:bookmarkEnd w:id="118"/>
      <w:bookmarkEnd w:id="119"/>
      <w:bookmarkEnd w:id="120"/>
    </w:p>
    <w:p>
      <w:pPr>
        <w:pStyle w:val="4"/>
        <w:bidi w:val="0"/>
        <w:rPr>
          <w:color w:val="auto"/>
          <w:lang w:val="en-US" w:eastAsia="zh-CN"/>
        </w:rPr>
      </w:pPr>
      <w:bookmarkStart w:id="121" w:name="_Toc13386"/>
      <w:bookmarkStart w:id="122" w:name="_Toc13990"/>
      <w:bookmarkStart w:id="123" w:name="_Toc2657"/>
      <w:bookmarkStart w:id="124" w:name="_Toc17152"/>
      <w:bookmarkStart w:id="125" w:name="_Toc32191"/>
      <w:bookmarkStart w:id="126" w:name="_Toc3117"/>
      <w:r>
        <w:rPr>
          <w:rFonts w:hint="eastAsia"/>
          <w:color w:val="auto"/>
          <w:lang w:val="en-US" w:eastAsia="zh-CN"/>
        </w:rPr>
        <w:t>风险管控方案</w:t>
      </w:r>
      <w:bookmarkEnd w:id="121"/>
      <w:bookmarkEnd w:id="122"/>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结合项目特点和风险评价，有针对性地提出项目主要风险的防范和化解措施。</w:t>
      </w:r>
      <w:r>
        <w:rPr>
          <w:rFonts w:hint="eastAsia" w:cs="仿宋_GB2312"/>
          <w:color w:val="auto"/>
          <w:szCs w:val="32"/>
          <w:lang w:eastAsia="zh-CN"/>
        </w:rPr>
        <w:t>重大项目应对社会稳定风险进行调查分析，查找并列出风险点、风险发生的可能性及影响程度，提出防范和化解风险的方案措施，提出采取相关措施后的社会稳定风险等级建议。</w:t>
      </w:r>
      <w:r>
        <w:rPr>
          <w:rFonts w:hint="eastAsia" w:ascii="Times New Roman" w:hAnsi="Times New Roman" w:eastAsia="仿宋_GB2312" w:cs="仿宋_GB2312"/>
          <w:color w:val="auto"/>
          <w:szCs w:val="32"/>
        </w:rPr>
        <w:t>对可能引发“邻避”问题的，应提出综合管控方案，保证影响社会稳定的风险在采取措施后处于低风险且可控状态。</w:t>
      </w:r>
    </w:p>
    <w:p>
      <w:pPr>
        <w:pStyle w:val="4"/>
        <w:bidi w:val="0"/>
        <w:rPr>
          <w:color w:val="auto"/>
          <w:lang w:val="en-US" w:eastAsia="zh-CN"/>
        </w:rPr>
      </w:pPr>
      <w:bookmarkStart w:id="127" w:name="_Toc23387"/>
      <w:bookmarkStart w:id="128" w:name="_Toc15668"/>
      <w:bookmarkStart w:id="129" w:name="_Toc10953"/>
      <w:bookmarkStart w:id="130" w:name="_Toc19632"/>
      <w:bookmarkStart w:id="131" w:name="_Toc29357"/>
      <w:bookmarkStart w:id="132" w:name="_Toc25992"/>
      <w:r>
        <w:rPr>
          <w:rFonts w:hint="eastAsia"/>
          <w:color w:val="auto"/>
          <w:lang w:val="en-US" w:eastAsia="zh-CN"/>
        </w:rPr>
        <w:t>风险应急预案</w:t>
      </w:r>
      <w:bookmarkEnd w:id="127"/>
      <w:bookmarkEnd w:id="128"/>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对于项目可能发生的风险，研究制定重大风险应急预案</w:t>
      </w:r>
      <w:r>
        <w:rPr>
          <w:rFonts w:hint="eastAsia" w:cs="仿宋_GB2312"/>
          <w:color w:val="auto"/>
          <w:szCs w:val="32"/>
          <w:lang w:eastAsia="zh-CN"/>
        </w:rPr>
        <w:t>，明确应急处置及应急演练要求</w:t>
      </w:r>
      <w:r>
        <w:rPr>
          <w:rFonts w:hint="eastAsia" w:ascii="Times New Roman" w:hAnsi="Times New Roman" w:eastAsia="仿宋_GB2312" w:cs="仿宋_GB2312"/>
          <w:color w:val="auto"/>
          <w:szCs w:val="32"/>
        </w:rPr>
        <w:t>等。</w:t>
      </w:r>
    </w:p>
    <w:p>
      <w:pPr>
        <w:pStyle w:val="3"/>
        <w:bidi w:val="0"/>
        <w:rPr>
          <w:color w:val="auto"/>
          <w:lang w:val="en-US" w:eastAsia="zh-CN"/>
        </w:rPr>
      </w:pPr>
      <w:bookmarkStart w:id="133" w:name="_Toc17723"/>
      <w:bookmarkStart w:id="134" w:name="_Toc9999"/>
      <w:bookmarkStart w:id="135" w:name="_Toc7647"/>
      <w:bookmarkStart w:id="136" w:name="_Toc12139"/>
      <w:bookmarkStart w:id="137" w:name="_Toc30125"/>
      <w:bookmarkStart w:id="138" w:name="_Toc22978"/>
      <w:r>
        <w:rPr>
          <w:rFonts w:hint="eastAsia"/>
          <w:color w:val="auto"/>
          <w:lang w:val="en-US" w:eastAsia="zh-CN"/>
        </w:rPr>
        <w:t>研究结论及建议</w:t>
      </w:r>
      <w:bookmarkEnd w:id="133"/>
      <w:bookmarkEnd w:id="134"/>
      <w:bookmarkEnd w:id="135"/>
      <w:bookmarkEnd w:id="136"/>
      <w:bookmarkEnd w:id="137"/>
      <w:bookmarkEnd w:id="138"/>
    </w:p>
    <w:p>
      <w:pPr>
        <w:pStyle w:val="4"/>
        <w:bidi w:val="0"/>
        <w:rPr>
          <w:color w:val="auto"/>
          <w:lang w:val="en-US" w:eastAsia="zh-CN"/>
        </w:rPr>
      </w:pPr>
      <w:bookmarkStart w:id="139" w:name="_Toc28145"/>
      <w:bookmarkStart w:id="140" w:name="_Toc329"/>
      <w:bookmarkStart w:id="141" w:name="_Toc9322"/>
      <w:bookmarkStart w:id="142" w:name="_Toc28744"/>
      <w:bookmarkStart w:id="143" w:name="_Toc32261"/>
      <w:bookmarkStart w:id="144" w:name="_Toc22488"/>
      <w:r>
        <w:rPr>
          <w:rFonts w:hint="eastAsia"/>
          <w:color w:val="auto"/>
          <w:lang w:val="en-US" w:eastAsia="zh-CN"/>
        </w:rPr>
        <w:t>主要研究结论</w:t>
      </w:r>
      <w:bookmarkEnd w:id="139"/>
      <w:bookmarkEnd w:id="140"/>
      <w:bookmarkEnd w:id="141"/>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从建设必要性、要素保障性、工程可行性、运营有效性、财务合理性、影响可持续性、风险可控性等维度分别简述项目可行性研究结论，评价项目在经济、社会、环境等各方面效果和风险，提出项目是否可行的研究结论。</w:t>
      </w:r>
    </w:p>
    <w:p>
      <w:pPr>
        <w:pStyle w:val="4"/>
        <w:bidi w:val="0"/>
        <w:rPr>
          <w:color w:val="auto"/>
          <w:lang w:val="en-US" w:eastAsia="zh-CN"/>
        </w:rPr>
      </w:pPr>
      <w:bookmarkStart w:id="145" w:name="_Toc25450"/>
      <w:bookmarkStart w:id="146" w:name="_Toc1958"/>
      <w:bookmarkStart w:id="147" w:name="_Toc997"/>
      <w:bookmarkStart w:id="148" w:name="_Toc31057"/>
      <w:bookmarkStart w:id="149" w:name="_Toc4929"/>
      <w:bookmarkStart w:id="150" w:name="_Toc4236"/>
      <w:r>
        <w:rPr>
          <w:rFonts w:hint="eastAsia"/>
          <w:color w:val="auto"/>
          <w:lang w:val="en-US" w:eastAsia="zh-CN"/>
        </w:rPr>
        <w:t>问题与建议</w:t>
      </w:r>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ascii="Times New Roman" w:hAnsi="Times New Roman" w:eastAsia="仿宋_GB2312" w:cs="仿宋_GB2312"/>
          <w:color w:val="auto"/>
          <w:szCs w:val="32"/>
        </w:rPr>
      </w:pPr>
      <w:r>
        <w:rPr>
          <w:rFonts w:hint="eastAsia" w:ascii="Times New Roman" w:hAnsi="Times New Roman" w:eastAsia="仿宋_GB2312" w:cs="仿宋_GB2312"/>
          <w:color w:val="auto"/>
          <w:szCs w:val="32"/>
        </w:rPr>
        <w:t>针对项目需要重点关注和进一步研究解决的问题，提出相关建议。</w:t>
      </w:r>
    </w:p>
    <w:p>
      <w:pPr>
        <w:pStyle w:val="3"/>
        <w:bidi w:val="0"/>
        <w:rPr>
          <w:color w:val="auto"/>
          <w:lang w:val="en-US" w:eastAsia="zh-CN"/>
        </w:rPr>
      </w:pPr>
      <w:bookmarkStart w:id="151" w:name="_Toc24607"/>
      <w:bookmarkStart w:id="152" w:name="_Toc17095"/>
      <w:bookmarkStart w:id="153" w:name="_Toc8277"/>
      <w:bookmarkStart w:id="154" w:name="_Toc17111"/>
      <w:bookmarkStart w:id="155" w:name="_Toc12644"/>
      <w:bookmarkStart w:id="156" w:name="_Toc5700"/>
      <w:r>
        <w:rPr>
          <w:rFonts w:hint="eastAsia"/>
          <w:color w:val="auto"/>
          <w:lang w:val="en-US" w:eastAsia="zh-CN"/>
        </w:rPr>
        <w:t>附</w:t>
      </w:r>
      <w:bookmarkEnd w:id="151"/>
      <w:bookmarkEnd w:id="152"/>
      <w:bookmarkEnd w:id="153"/>
      <w:bookmarkEnd w:id="154"/>
      <w:bookmarkEnd w:id="155"/>
      <w:bookmarkEnd w:id="156"/>
      <w:r>
        <w:rPr>
          <w:rFonts w:hint="eastAsia"/>
          <w:color w:val="auto"/>
          <w:lang w:val="en-US" w:eastAsia="zh-CN"/>
        </w:rPr>
        <w:t>表、附图和附件</w:t>
      </w:r>
    </w:p>
    <w:p>
      <w:pPr>
        <w:rPr>
          <w:rFonts w:hint="eastAsia"/>
          <w:color w:val="auto"/>
          <w:lang w:val="en-US" w:eastAsia="zh-CN"/>
        </w:rPr>
      </w:pPr>
      <w:r>
        <w:rPr>
          <w:rFonts w:hint="eastAsia"/>
          <w:color w:val="auto"/>
          <w:lang w:val="en-US" w:eastAsia="zh-CN"/>
        </w:rPr>
        <w:t>附表主要包括设备材料清册、工程量清单、工程估算书、拆除设备清单等</w:t>
      </w:r>
      <w:bookmarkStart w:id="157" w:name="_Toc217"/>
      <w:bookmarkStart w:id="158" w:name="_Toc7103"/>
      <w:bookmarkStart w:id="159" w:name="_Toc18817"/>
      <w:bookmarkStart w:id="160" w:name="_Toc25447"/>
      <w:bookmarkStart w:id="161" w:name="_Toc31749"/>
      <w:bookmarkStart w:id="162" w:name="_Toc7238"/>
      <w:bookmarkStart w:id="163" w:name="_Toc31356"/>
      <w:r>
        <w:rPr>
          <w:rFonts w:hint="eastAsia"/>
          <w:color w:val="auto"/>
          <w:lang w:val="en-US" w:eastAsia="zh-CN"/>
        </w:rPr>
        <w:t>。</w:t>
      </w:r>
    </w:p>
    <w:p>
      <w:pPr>
        <w:rPr>
          <w:rFonts w:hint="eastAsia" w:cs="仿宋_GB2312"/>
          <w:color w:val="auto"/>
          <w:szCs w:val="32"/>
          <w:lang w:eastAsia="zh-CN"/>
        </w:rPr>
      </w:pPr>
      <w:r>
        <w:rPr>
          <w:rFonts w:hint="eastAsia"/>
          <w:color w:val="auto"/>
          <w:lang w:val="en-US" w:eastAsia="zh-CN"/>
        </w:rPr>
        <w:t>附图</w:t>
      </w:r>
      <w:bookmarkEnd w:id="157"/>
      <w:bookmarkEnd w:id="158"/>
      <w:bookmarkEnd w:id="159"/>
      <w:bookmarkEnd w:id="160"/>
      <w:bookmarkEnd w:id="161"/>
      <w:bookmarkEnd w:id="162"/>
      <w:bookmarkEnd w:id="163"/>
      <w:bookmarkStart w:id="164" w:name="_Toc27383"/>
      <w:bookmarkStart w:id="165" w:name="_Toc28604"/>
      <w:bookmarkStart w:id="166" w:name="_Toc6061"/>
      <w:bookmarkStart w:id="167" w:name="_Toc458"/>
      <w:r>
        <w:rPr>
          <w:rFonts w:hint="eastAsia"/>
          <w:color w:val="auto"/>
          <w:lang w:val="en-US" w:eastAsia="zh-CN"/>
        </w:rPr>
        <w:t>主要包括电力系统现状接线示意图</w:t>
      </w:r>
      <w:bookmarkEnd w:id="164"/>
      <w:bookmarkEnd w:id="165"/>
      <w:bookmarkEnd w:id="166"/>
      <w:bookmarkEnd w:id="167"/>
      <w:r>
        <w:rPr>
          <w:rFonts w:hint="eastAsia"/>
          <w:color w:val="auto"/>
          <w:lang w:val="en-US" w:eastAsia="zh-CN"/>
        </w:rPr>
        <w:t>，</w:t>
      </w:r>
      <w:bookmarkStart w:id="168" w:name="_Toc8616"/>
      <w:bookmarkStart w:id="169" w:name="_Toc11574"/>
      <w:bookmarkStart w:id="170" w:name="_Toc26701"/>
      <w:bookmarkStart w:id="171" w:name="_Toc27142"/>
      <w:r>
        <w:rPr>
          <w:rFonts w:hint="eastAsia"/>
          <w:color w:val="auto"/>
          <w:lang w:val="en-US" w:eastAsia="zh-CN"/>
        </w:rPr>
        <w:t>接入系统方案示意图</w:t>
      </w:r>
      <w:bookmarkEnd w:id="168"/>
      <w:bookmarkEnd w:id="169"/>
      <w:bookmarkEnd w:id="170"/>
      <w:bookmarkEnd w:id="171"/>
      <w:bookmarkStart w:id="172" w:name="_Toc22888"/>
      <w:bookmarkStart w:id="173" w:name="_Toc25456"/>
      <w:bookmarkStart w:id="174" w:name="_Toc10195"/>
      <w:bookmarkStart w:id="175" w:name="_Toc3672"/>
      <w:r>
        <w:rPr>
          <w:rFonts w:hint="eastAsia"/>
          <w:color w:val="auto"/>
          <w:lang w:val="en-US" w:eastAsia="zh-CN"/>
        </w:rPr>
        <w:t>，</w:t>
      </w:r>
      <w:bookmarkEnd w:id="172"/>
      <w:bookmarkEnd w:id="173"/>
      <w:bookmarkEnd w:id="174"/>
      <w:bookmarkEnd w:id="175"/>
      <w:bookmarkStart w:id="176" w:name="_Toc10268"/>
      <w:bookmarkStart w:id="177" w:name="_Toc28835"/>
      <w:bookmarkStart w:id="178" w:name="_Toc16517"/>
      <w:bookmarkStart w:id="179" w:name="_Toc13343"/>
      <w:r>
        <w:rPr>
          <w:rFonts w:hint="eastAsia"/>
          <w:color w:val="auto"/>
          <w:lang w:val="en-US" w:eastAsia="zh-CN"/>
        </w:rPr>
        <w:t>变电站站址位置及线路进出线规划图</w:t>
      </w:r>
      <w:bookmarkEnd w:id="176"/>
      <w:bookmarkEnd w:id="177"/>
      <w:bookmarkEnd w:id="178"/>
      <w:bookmarkEnd w:id="179"/>
      <w:r>
        <w:rPr>
          <w:rFonts w:hint="eastAsia"/>
          <w:color w:val="auto"/>
          <w:lang w:val="en-US" w:eastAsia="zh-CN"/>
        </w:rPr>
        <w:t>，</w:t>
      </w:r>
      <w:bookmarkStart w:id="180" w:name="_Toc28243"/>
      <w:bookmarkStart w:id="181" w:name="_Toc1324"/>
      <w:bookmarkStart w:id="182" w:name="_Toc7814"/>
      <w:bookmarkStart w:id="183" w:name="_Toc11590"/>
      <w:r>
        <w:rPr>
          <w:rFonts w:hint="eastAsia"/>
          <w:color w:val="auto"/>
          <w:lang w:val="en-US" w:eastAsia="zh-CN"/>
        </w:rPr>
        <w:t>线路路径方案图</w:t>
      </w:r>
      <w:bookmarkEnd w:id="180"/>
      <w:bookmarkEnd w:id="181"/>
      <w:bookmarkEnd w:id="182"/>
      <w:bookmarkEnd w:id="183"/>
      <w:r>
        <w:rPr>
          <w:rFonts w:hint="eastAsia"/>
          <w:color w:val="auto"/>
          <w:lang w:val="en-US" w:eastAsia="zh-CN"/>
        </w:rPr>
        <w:t>，</w:t>
      </w:r>
      <w:bookmarkStart w:id="184" w:name="_Toc26199"/>
      <w:bookmarkStart w:id="185" w:name="_Toc17450"/>
      <w:bookmarkStart w:id="186" w:name="_Toc4250"/>
      <w:bookmarkStart w:id="187" w:name="_Toc23002"/>
      <w:r>
        <w:rPr>
          <w:rFonts w:hint="eastAsia"/>
          <w:color w:val="auto"/>
          <w:lang w:val="en-US" w:eastAsia="zh-CN"/>
        </w:rPr>
        <w:t>电气主接线图</w:t>
      </w:r>
      <w:bookmarkEnd w:id="184"/>
      <w:bookmarkEnd w:id="185"/>
      <w:bookmarkEnd w:id="186"/>
      <w:bookmarkEnd w:id="187"/>
      <w:bookmarkStart w:id="188" w:name="_Toc3993"/>
      <w:bookmarkStart w:id="189" w:name="_Toc4113"/>
      <w:bookmarkStart w:id="190" w:name="_Toc4320"/>
      <w:bookmarkStart w:id="191" w:name="_Toc21955"/>
      <w:r>
        <w:rPr>
          <w:rFonts w:hint="eastAsia"/>
          <w:color w:val="auto"/>
          <w:lang w:val="en-US" w:eastAsia="zh-CN"/>
        </w:rPr>
        <w:t>，总平面布置图</w:t>
      </w:r>
      <w:bookmarkEnd w:id="188"/>
      <w:bookmarkEnd w:id="189"/>
      <w:bookmarkEnd w:id="190"/>
      <w:bookmarkEnd w:id="191"/>
      <w:r>
        <w:rPr>
          <w:rFonts w:hint="eastAsia" w:ascii="Times New Roman" w:hAnsi="Times New Roman" w:eastAsia="仿宋_GB2312" w:cs="仿宋_GB2312"/>
          <w:color w:val="auto"/>
          <w:szCs w:val="32"/>
        </w:rPr>
        <w:t>等</w:t>
      </w:r>
      <w:bookmarkStart w:id="192" w:name="_Toc2600"/>
      <w:bookmarkStart w:id="193" w:name="_Toc18629"/>
      <w:bookmarkStart w:id="194" w:name="_Toc4537"/>
      <w:bookmarkStart w:id="195" w:name="_Toc24557"/>
      <w:r>
        <w:rPr>
          <w:rFonts w:hint="eastAsia" w:cs="仿宋_GB2312"/>
          <w:color w:val="auto"/>
          <w:szCs w:val="32"/>
          <w:lang w:eastAsia="zh-CN"/>
        </w:rPr>
        <w:t>。</w:t>
      </w:r>
    </w:p>
    <w:p>
      <w:pPr>
        <w:rPr>
          <w:rFonts w:hint="eastAsia"/>
          <w:color w:val="auto"/>
          <w:lang w:val="en-US" w:eastAsia="zh-CN"/>
        </w:rPr>
      </w:pPr>
      <w:r>
        <w:rPr>
          <w:rFonts w:hint="eastAsia"/>
          <w:color w:val="auto"/>
          <w:lang w:val="en-US" w:eastAsia="zh-CN"/>
        </w:rPr>
        <w:t>附件主要包括站址用地、线路路径协议，有权限的自然资源主管部门核发的用地预审与选址意见书或确认文件</w:t>
      </w:r>
      <w:bookmarkEnd w:id="192"/>
      <w:bookmarkEnd w:id="193"/>
      <w:bookmarkEnd w:id="194"/>
      <w:bookmarkEnd w:id="195"/>
      <w:bookmarkStart w:id="196" w:name="_Toc22739"/>
      <w:bookmarkStart w:id="197" w:name="_Toc32570"/>
      <w:bookmarkStart w:id="198" w:name="_Toc5655"/>
      <w:bookmarkStart w:id="199" w:name="_Toc3575"/>
      <w:r>
        <w:rPr>
          <w:rFonts w:hint="eastAsia"/>
          <w:color w:val="auto"/>
          <w:lang w:val="en-US" w:eastAsia="zh-CN"/>
        </w:rPr>
        <w:t>，社会稳定风险评估意见，地区电力调度中心出具的新建或改造变电站、线路拟定名称的说明等。</w:t>
      </w:r>
      <w:bookmarkEnd w:id="196"/>
      <w:bookmarkEnd w:id="197"/>
      <w:bookmarkEnd w:id="198"/>
      <w:bookmarkEnd w:id="199"/>
    </w:p>
    <w:sectPr>
      <w:footerReference r:id="rId5" w:type="default"/>
      <w:footnotePr>
        <w:numFmt w:val="decimalEnclosedCircleChinese"/>
      </w:footnotePr>
      <w:pgSz w:w="12240" w:h="15840"/>
      <w:pgMar w:top="2098" w:right="1474" w:bottom="1984" w:left="1587" w:header="720" w:footer="720" w:gutter="0"/>
      <w:lnNumType w:countBy="0" w:distance="36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F5F68"/>
    <w:multiLevelType w:val="multilevel"/>
    <w:tmpl w:val="8FDF5F68"/>
    <w:lvl w:ilvl="0" w:tentative="0">
      <w:start w:val="1"/>
      <w:numFmt w:val="decimal"/>
      <w:pStyle w:val="3"/>
      <w:suff w:val="space"/>
      <w:lvlText w:val="%1"/>
      <w:lvlJc w:val="left"/>
      <w:pPr>
        <w:tabs>
          <w:tab w:val="left" w:pos="0"/>
        </w:tabs>
        <w:ind w:left="0" w:firstLine="40"/>
      </w:pPr>
      <w:rPr>
        <w:rFonts w:hint="default" w:ascii="Times New Roman" w:hAnsi="Times New Roman" w:eastAsia="黑体" w:cs="黑体"/>
        <w:b w:val="0"/>
        <w:bCs w:val="0"/>
        <w:sz w:val="32"/>
        <w:szCs w:val="32"/>
      </w:rPr>
    </w:lvl>
    <w:lvl w:ilvl="1" w:tentative="0">
      <w:start w:val="1"/>
      <w:numFmt w:val="decimal"/>
      <w:pStyle w:val="4"/>
      <w:suff w:val="space"/>
      <w:lvlText w:val="%1.%2"/>
      <w:lvlJc w:val="left"/>
      <w:pPr>
        <w:tabs>
          <w:tab w:val="left" w:pos="0"/>
        </w:tabs>
        <w:ind w:left="0" w:firstLine="40"/>
      </w:pPr>
      <w:rPr>
        <w:rFonts w:hint="default" w:ascii="Times New Roman" w:hAnsi="Times New Roman" w:eastAsia="仿宋_GB2312" w:cs="仿宋_GB2312"/>
        <w:sz w:val="32"/>
        <w:szCs w:val="32"/>
      </w:rPr>
    </w:lvl>
    <w:lvl w:ilvl="2" w:tentative="0">
      <w:start w:val="1"/>
      <w:numFmt w:val="decimal"/>
      <w:pStyle w:val="5"/>
      <w:suff w:val="space"/>
      <w:lvlText w:val="%1.%2.%3"/>
      <w:lvlJc w:val="left"/>
      <w:pPr>
        <w:tabs>
          <w:tab w:val="left" w:pos="0"/>
        </w:tabs>
        <w:ind w:left="0" w:firstLine="0"/>
      </w:pPr>
      <w:rPr>
        <w:rFonts w:hint="default" w:ascii="Times New Roman" w:hAnsi="Times New Roman" w:eastAsia="仿宋_GB2312" w:cs="仿宋_GB2312"/>
        <w:sz w:val="32"/>
        <w:szCs w:val="32"/>
      </w:rPr>
    </w:lvl>
    <w:lvl w:ilvl="3" w:tentative="0">
      <w:start w:val="1"/>
      <w:numFmt w:val="decimal"/>
      <w:pStyle w:val="6"/>
      <w:suff w:val="space"/>
      <w:lvlText w:val="%1.%2.%3.%4"/>
      <w:lvlJc w:val="left"/>
      <w:pPr>
        <w:tabs>
          <w:tab w:val="left" w:pos="0"/>
        </w:tabs>
        <w:ind w:left="0" w:firstLine="420"/>
      </w:pPr>
      <w:rPr>
        <w:rFonts w:hint="default" w:ascii="Times New Roman" w:hAnsi="Times New Roman" w:eastAsia="仿宋_GB2312" w:cs="仿宋_GB2312"/>
        <w:sz w:val="32"/>
        <w:szCs w:val="32"/>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tabs>
          <w:tab w:val="left" w:pos="297"/>
        </w:tabs>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BFBE2868"/>
    <w:multiLevelType w:val="singleLevel"/>
    <w:tmpl w:val="BFBE2868"/>
    <w:lvl w:ilvl="0" w:tentative="0">
      <w:start w:val="1"/>
      <w:numFmt w:val="chineseCounting"/>
      <w:suff w:val="nothing"/>
      <w:lvlText w:val="（%1）"/>
      <w:lvlJc w:val="left"/>
      <w:rPr>
        <w:rFonts w:hint="eastAsia"/>
      </w:rPr>
    </w:lvl>
  </w:abstractNum>
  <w:abstractNum w:abstractNumId="2">
    <w:nsid w:val="DAB01AC2"/>
    <w:multiLevelType w:val="multilevel"/>
    <w:tmpl w:val="DAB01AC2"/>
    <w:lvl w:ilvl="0" w:tentative="0">
      <w:start w:val="1"/>
      <w:numFmt w:val="chineseCounting"/>
      <w:suff w:val="nothing"/>
      <w:lvlText w:val="第%1章 "/>
      <w:lvlJc w:val="left"/>
      <w:pPr>
        <w:ind w:left="0" w:firstLine="402"/>
      </w:pPr>
      <w:rPr>
        <w:rFonts w:hint="eastAsia" w:ascii="黑体" w:hAnsi="黑体" w:eastAsia="黑体" w:cs="黑体"/>
        <w:sz w:val="32"/>
        <w:szCs w:val="32"/>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EDE3933F"/>
    <w:multiLevelType w:val="singleLevel"/>
    <w:tmpl w:val="EDE3933F"/>
    <w:lvl w:ilvl="0" w:tentative="0">
      <w:start w:val="1"/>
      <w:numFmt w:val="chineseCounting"/>
      <w:suff w:val="nothing"/>
      <w:lvlText w:val="（%1）"/>
      <w:lvlJc w:val="left"/>
      <w:rPr>
        <w:rFonts w:hint="eastAsia"/>
      </w:rPr>
    </w:lvl>
  </w:abstractNum>
  <w:abstractNum w:abstractNumId="4">
    <w:nsid w:val="303B3C7F"/>
    <w:multiLevelType w:val="multilevel"/>
    <w:tmpl w:val="303B3C7F"/>
    <w:lvl w:ilvl="0" w:tentative="0">
      <w:start w:val="1"/>
      <w:numFmt w:val="chineseCountingThousand"/>
      <w:suff w:val="space"/>
      <w:lvlText w:val="第%1条"/>
      <w:lvlJc w:val="left"/>
      <w:pPr>
        <w:ind w:left="0" w:firstLine="0"/>
      </w:pPr>
      <w:rPr>
        <w:rFonts w:hint="eastAsia"/>
        <w:b/>
        <w:lang w:val="en-US"/>
      </w:rPr>
    </w:lvl>
    <w:lvl w:ilvl="1" w:tentative="0">
      <w:start w:val="1"/>
      <w:numFmt w:val="chineseCountingThousand"/>
      <w:lvlText w:val="(%2)"/>
      <w:lvlJc w:val="left"/>
      <w:pPr>
        <w:tabs>
          <w:tab w:val="left" w:pos="840"/>
        </w:tabs>
        <w:ind w:left="840" w:hanging="420"/>
      </w:pPr>
      <w:rPr>
        <w:rFonts w:hint="eastAsia"/>
      </w:rPr>
    </w:lvl>
    <w:lvl w:ilvl="2" w:tentative="0">
      <w:start w:val="1"/>
      <w:numFmt w:val="japaneseCounting"/>
      <w:lvlText w:val="（%3）"/>
      <w:lvlJc w:val="left"/>
      <w:pPr>
        <w:tabs>
          <w:tab w:val="left" w:pos="2445"/>
        </w:tabs>
        <w:ind w:left="2445" w:hanging="1605"/>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79EF22C0"/>
    <w:multiLevelType w:val="singleLevel"/>
    <w:tmpl w:val="79EF22C0"/>
    <w:lvl w:ilvl="0" w:tentative="0">
      <w:start w:val="2"/>
      <w:numFmt w:val="chineseCounting"/>
      <w:suff w:val="nothing"/>
      <w:lvlText w:val="（%1）"/>
      <w:lvlJc w:val="left"/>
      <w:rPr>
        <w:rFonts w:hint="eastAsia"/>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Nzg4N2M3NWY1YzQ2ZWI5YTNiYjgwM2ZjMWIzYWQifQ=="/>
  </w:docVars>
  <w:rsids>
    <w:rsidRoot w:val="00172A27"/>
    <w:rsid w:val="00147252"/>
    <w:rsid w:val="00936276"/>
    <w:rsid w:val="009916EC"/>
    <w:rsid w:val="00D90CC2"/>
    <w:rsid w:val="00DE6C4C"/>
    <w:rsid w:val="01D50BEA"/>
    <w:rsid w:val="0212543E"/>
    <w:rsid w:val="021E111B"/>
    <w:rsid w:val="022278B2"/>
    <w:rsid w:val="022840B5"/>
    <w:rsid w:val="023B086B"/>
    <w:rsid w:val="025C7F5A"/>
    <w:rsid w:val="02753E85"/>
    <w:rsid w:val="02A60B22"/>
    <w:rsid w:val="03590FEA"/>
    <w:rsid w:val="036663CC"/>
    <w:rsid w:val="03A365B9"/>
    <w:rsid w:val="046C030B"/>
    <w:rsid w:val="059C5BCD"/>
    <w:rsid w:val="066C559F"/>
    <w:rsid w:val="066F70AA"/>
    <w:rsid w:val="07070DD3"/>
    <w:rsid w:val="07357A49"/>
    <w:rsid w:val="073836D3"/>
    <w:rsid w:val="078B1C5E"/>
    <w:rsid w:val="07A52ABB"/>
    <w:rsid w:val="07F81151"/>
    <w:rsid w:val="07FE2285"/>
    <w:rsid w:val="081232E5"/>
    <w:rsid w:val="08765047"/>
    <w:rsid w:val="09A940FF"/>
    <w:rsid w:val="09DC3F3B"/>
    <w:rsid w:val="0B140DA8"/>
    <w:rsid w:val="0B3A8907"/>
    <w:rsid w:val="0B8D69A8"/>
    <w:rsid w:val="0BCE365C"/>
    <w:rsid w:val="0BEF5C9E"/>
    <w:rsid w:val="0CB56845"/>
    <w:rsid w:val="0CF70669"/>
    <w:rsid w:val="0E0A1E21"/>
    <w:rsid w:val="0E232A53"/>
    <w:rsid w:val="0E4B06D8"/>
    <w:rsid w:val="0E553784"/>
    <w:rsid w:val="0EB45CE9"/>
    <w:rsid w:val="0EBB3568"/>
    <w:rsid w:val="0EF97F61"/>
    <w:rsid w:val="0F247CAE"/>
    <w:rsid w:val="0FFCD005"/>
    <w:rsid w:val="0FFF3CAF"/>
    <w:rsid w:val="101D1434"/>
    <w:rsid w:val="108C52F3"/>
    <w:rsid w:val="1137024E"/>
    <w:rsid w:val="11D9042D"/>
    <w:rsid w:val="121B2E4E"/>
    <w:rsid w:val="124E7CB8"/>
    <w:rsid w:val="12A165D1"/>
    <w:rsid w:val="12B50738"/>
    <w:rsid w:val="12BE31B7"/>
    <w:rsid w:val="132964DD"/>
    <w:rsid w:val="13A5747E"/>
    <w:rsid w:val="13BAA6AB"/>
    <w:rsid w:val="143F7395"/>
    <w:rsid w:val="1461070D"/>
    <w:rsid w:val="14A6073C"/>
    <w:rsid w:val="14AF1C2F"/>
    <w:rsid w:val="14F25809"/>
    <w:rsid w:val="159673EF"/>
    <w:rsid w:val="15B836D3"/>
    <w:rsid w:val="15CA053A"/>
    <w:rsid w:val="160475A2"/>
    <w:rsid w:val="163A700E"/>
    <w:rsid w:val="16810ADB"/>
    <w:rsid w:val="16F454F7"/>
    <w:rsid w:val="176A7AE1"/>
    <w:rsid w:val="17799399"/>
    <w:rsid w:val="180925E4"/>
    <w:rsid w:val="183312BB"/>
    <w:rsid w:val="19870843"/>
    <w:rsid w:val="199C419B"/>
    <w:rsid w:val="19AE7B2D"/>
    <w:rsid w:val="1A0C43D3"/>
    <w:rsid w:val="1A3464DA"/>
    <w:rsid w:val="1A421864"/>
    <w:rsid w:val="1AF86220"/>
    <w:rsid w:val="1AFD471A"/>
    <w:rsid w:val="1BFB1AA8"/>
    <w:rsid w:val="1C210052"/>
    <w:rsid w:val="1D253933"/>
    <w:rsid w:val="1D290186"/>
    <w:rsid w:val="1D436234"/>
    <w:rsid w:val="1D86563F"/>
    <w:rsid w:val="1DF4174B"/>
    <w:rsid w:val="1F525382"/>
    <w:rsid w:val="1F6E0A6D"/>
    <w:rsid w:val="1F77470D"/>
    <w:rsid w:val="1FBEAAC9"/>
    <w:rsid w:val="1FBFB1C7"/>
    <w:rsid w:val="201B2773"/>
    <w:rsid w:val="202D3B9A"/>
    <w:rsid w:val="2087389B"/>
    <w:rsid w:val="20D64A72"/>
    <w:rsid w:val="20F77476"/>
    <w:rsid w:val="213F2E49"/>
    <w:rsid w:val="22302E11"/>
    <w:rsid w:val="22AF39D1"/>
    <w:rsid w:val="22BE3C10"/>
    <w:rsid w:val="232A2EB6"/>
    <w:rsid w:val="239B5C30"/>
    <w:rsid w:val="240B278D"/>
    <w:rsid w:val="241C453D"/>
    <w:rsid w:val="24264B88"/>
    <w:rsid w:val="242A32A6"/>
    <w:rsid w:val="24D532D0"/>
    <w:rsid w:val="24DF05C2"/>
    <w:rsid w:val="25572067"/>
    <w:rsid w:val="25DB5658"/>
    <w:rsid w:val="25F2146E"/>
    <w:rsid w:val="25F458E7"/>
    <w:rsid w:val="25FF1060"/>
    <w:rsid w:val="26593AEC"/>
    <w:rsid w:val="26B4725E"/>
    <w:rsid w:val="27101976"/>
    <w:rsid w:val="27B36525"/>
    <w:rsid w:val="27F6F37D"/>
    <w:rsid w:val="28476006"/>
    <w:rsid w:val="297F7BA4"/>
    <w:rsid w:val="29F21E73"/>
    <w:rsid w:val="29FBF2C5"/>
    <w:rsid w:val="2A004C14"/>
    <w:rsid w:val="2A02047D"/>
    <w:rsid w:val="2A243451"/>
    <w:rsid w:val="2A781EB5"/>
    <w:rsid w:val="2AD264ED"/>
    <w:rsid w:val="2B7C5DEA"/>
    <w:rsid w:val="2B965F42"/>
    <w:rsid w:val="2C070EFB"/>
    <w:rsid w:val="2C3C7DEA"/>
    <w:rsid w:val="2C5B1541"/>
    <w:rsid w:val="2C6C0C36"/>
    <w:rsid w:val="2C7700B2"/>
    <w:rsid w:val="2E1E715A"/>
    <w:rsid w:val="2E4068F8"/>
    <w:rsid w:val="2EFDA9AC"/>
    <w:rsid w:val="2EFF04AE"/>
    <w:rsid w:val="2F3236A3"/>
    <w:rsid w:val="2F637EF6"/>
    <w:rsid w:val="2FBB06C2"/>
    <w:rsid w:val="2FBF99F0"/>
    <w:rsid w:val="2FBFC35E"/>
    <w:rsid w:val="2FD9988E"/>
    <w:rsid w:val="2FF274AF"/>
    <w:rsid w:val="2FF5237E"/>
    <w:rsid w:val="2FFA3A98"/>
    <w:rsid w:val="308E0E06"/>
    <w:rsid w:val="30CD7516"/>
    <w:rsid w:val="31BFA1CF"/>
    <w:rsid w:val="31C63BAD"/>
    <w:rsid w:val="31E54431"/>
    <w:rsid w:val="31FB5784"/>
    <w:rsid w:val="323C01B5"/>
    <w:rsid w:val="326A117D"/>
    <w:rsid w:val="329655CE"/>
    <w:rsid w:val="32A44717"/>
    <w:rsid w:val="330B55BF"/>
    <w:rsid w:val="332D4273"/>
    <w:rsid w:val="337D4039"/>
    <w:rsid w:val="345C14EF"/>
    <w:rsid w:val="34E44283"/>
    <w:rsid w:val="357A7612"/>
    <w:rsid w:val="35D74205"/>
    <w:rsid w:val="375E3BCC"/>
    <w:rsid w:val="37940D3A"/>
    <w:rsid w:val="37DC71EC"/>
    <w:rsid w:val="37F79709"/>
    <w:rsid w:val="39C464AE"/>
    <w:rsid w:val="39EF8A97"/>
    <w:rsid w:val="3A246F63"/>
    <w:rsid w:val="3A550E38"/>
    <w:rsid w:val="3A560EE9"/>
    <w:rsid w:val="3AB72577"/>
    <w:rsid w:val="3AD969A0"/>
    <w:rsid w:val="3B7CB52F"/>
    <w:rsid w:val="3B7D2A39"/>
    <w:rsid w:val="3BD64BC0"/>
    <w:rsid w:val="3BD66A3C"/>
    <w:rsid w:val="3BFD8BBB"/>
    <w:rsid w:val="3BFFCE4F"/>
    <w:rsid w:val="3C55156F"/>
    <w:rsid w:val="3C9E2501"/>
    <w:rsid w:val="3CA903A0"/>
    <w:rsid w:val="3CAD7227"/>
    <w:rsid w:val="3D490006"/>
    <w:rsid w:val="3DEFE9D4"/>
    <w:rsid w:val="3DFC1B53"/>
    <w:rsid w:val="3EED0A15"/>
    <w:rsid w:val="3EF92E5D"/>
    <w:rsid w:val="3F4F4696"/>
    <w:rsid w:val="3F7A625D"/>
    <w:rsid w:val="3FA6587F"/>
    <w:rsid w:val="3FAD2DB7"/>
    <w:rsid w:val="3FBE3203"/>
    <w:rsid w:val="3FD34A8D"/>
    <w:rsid w:val="3FDFB179"/>
    <w:rsid w:val="3FEFD786"/>
    <w:rsid w:val="3FFB4328"/>
    <w:rsid w:val="403B0586"/>
    <w:rsid w:val="409223BE"/>
    <w:rsid w:val="40AF442B"/>
    <w:rsid w:val="40F835B8"/>
    <w:rsid w:val="41743F17"/>
    <w:rsid w:val="42024651"/>
    <w:rsid w:val="422C794F"/>
    <w:rsid w:val="427A6A07"/>
    <w:rsid w:val="432B1B53"/>
    <w:rsid w:val="434A72E2"/>
    <w:rsid w:val="435F4D8A"/>
    <w:rsid w:val="437D35A4"/>
    <w:rsid w:val="4380719C"/>
    <w:rsid w:val="43CD1B9F"/>
    <w:rsid w:val="44A83F9B"/>
    <w:rsid w:val="452B7554"/>
    <w:rsid w:val="4566536E"/>
    <w:rsid w:val="456B6447"/>
    <w:rsid w:val="45717A64"/>
    <w:rsid w:val="463D4FAA"/>
    <w:rsid w:val="46546F3A"/>
    <w:rsid w:val="468B521E"/>
    <w:rsid w:val="47192E19"/>
    <w:rsid w:val="476E2E7A"/>
    <w:rsid w:val="47F34536"/>
    <w:rsid w:val="47F6C2B9"/>
    <w:rsid w:val="47FFDE4E"/>
    <w:rsid w:val="480D04F6"/>
    <w:rsid w:val="485F8532"/>
    <w:rsid w:val="48945CA0"/>
    <w:rsid w:val="4904078F"/>
    <w:rsid w:val="49B1023C"/>
    <w:rsid w:val="49B16588"/>
    <w:rsid w:val="49C7757F"/>
    <w:rsid w:val="49E60786"/>
    <w:rsid w:val="49E61ABB"/>
    <w:rsid w:val="4A2B1D38"/>
    <w:rsid w:val="4AE84CFE"/>
    <w:rsid w:val="4B256D02"/>
    <w:rsid w:val="4B5350DC"/>
    <w:rsid w:val="4BDD2F8B"/>
    <w:rsid w:val="4BF2043F"/>
    <w:rsid w:val="4BFB18B4"/>
    <w:rsid w:val="4BFF3178"/>
    <w:rsid w:val="4C190454"/>
    <w:rsid w:val="4C2662D8"/>
    <w:rsid w:val="4CB678D6"/>
    <w:rsid w:val="4CC04249"/>
    <w:rsid w:val="4CDC7E70"/>
    <w:rsid w:val="4CE4720A"/>
    <w:rsid w:val="4CED0079"/>
    <w:rsid w:val="4D302867"/>
    <w:rsid w:val="4D3E1441"/>
    <w:rsid w:val="4D693547"/>
    <w:rsid w:val="4D8536EE"/>
    <w:rsid w:val="4E011964"/>
    <w:rsid w:val="4E6333E7"/>
    <w:rsid w:val="4E877F24"/>
    <w:rsid w:val="4F17522D"/>
    <w:rsid w:val="4F3BC772"/>
    <w:rsid w:val="4F6572FD"/>
    <w:rsid w:val="4F7CE99B"/>
    <w:rsid w:val="4FBD2D0B"/>
    <w:rsid w:val="4FE1C7A1"/>
    <w:rsid w:val="4FF63D5A"/>
    <w:rsid w:val="500D06B6"/>
    <w:rsid w:val="50DE368E"/>
    <w:rsid w:val="51EE164C"/>
    <w:rsid w:val="52091506"/>
    <w:rsid w:val="52132340"/>
    <w:rsid w:val="521A4637"/>
    <w:rsid w:val="525D6793"/>
    <w:rsid w:val="529D7401"/>
    <w:rsid w:val="52DE703F"/>
    <w:rsid w:val="530F4472"/>
    <w:rsid w:val="54A929E9"/>
    <w:rsid w:val="54FE8E58"/>
    <w:rsid w:val="557B04C4"/>
    <w:rsid w:val="55D67902"/>
    <w:rsid w:val="568559CC"/>
    <w:rsid w:val="56892BFB"/>
    <w:rsid w:val="56C51664"/>
    <w:rsid w:val="57506612"/>
    <w:rsid w:val="57755823"/>
    <w:rsid w:val="577F530C"/>
    <w:rsid w:val="57A4628E"/>
    <w:rsid w:val="57C84117"/>
    <w:rsid w:val="587A1613"/>
    <w:rsid w:val="588D1F8F"/>
    <w:rsid w:val="58955C60"/>
    <w:rsid w:val="5A0F4C85"/>
    <w:rsid w:val="5AAE67AA"/>
    <w:rsid w:val="5AE11CCD"/>
    <w:rsid w:val="5B5E462C"/>
    <w:rsid w:val="5B7F8181"/>
    <w:rsid w:val="5B8C6DAF"/>
    <w:rsid w:val="5BAF2C29"/>
    <w:rsid w:val="5BD6ECC8"/>
    <w:rsid w:val="5BE52859"/>
    <w:rsid w:val="5C215961"/>
    <w:rsid w:val="5C57E044"/>
    <w:rsid w:val="5C8B6E6D"/>
    <w:rsid w:val="5CC85B44"/>
    <w:rsid w:val="5D3F4118"/>
    <w:rsid w:val="5D5DA411"/>
    <w:rsid w:val="5DBF9C4D"/>
    <w:rsid w:val="5DE3D759"/>
    <w:rsid w:val="5DF7C58C"/>
    <w:rsid w:val="5DFD45BF"/>
    <w:rsid w:val="5E5047CB"/>
    <w:rsid w:val="5E7F4FE5"/>
    <w:rsid w:val="5EB11BA2"/>
    <w:rsid w:val="5EB2126B"/>
    <w:rsid w:val="5ECD47AF"/>
    <w:rsid w:val="5EFCC57D"/>
    <w:rsid w:val="5F5E65E2"/>
    <w:rsid w:val="5F9D11B8"/>
    <w:rsid w:val="5FAF1A92"/>
    <w:rsid w:val="5FBBE1CE"/>
    <w:rsid w:val="5FBD93C8"/>
    <w:rsid w:val="5FDA594C"/>
    <w:rsid w:val="5FEF2091"/>
    <w:rsid w:val="5FF32FF8"/>
    <w:rsid w:val="5FF7FB36"/>
    <w:rsid w:val="5FFA8878"/>
    <w:rsid w:val="5FFE94D3"/>
    <w:rsid w:val="5FFF83F9"/>
    <w:rsid w:val="6062112C"/>
    <w:rsid w:val="6115076C"/>
    <w:rsid w:val="6149063D"/>
    <w:rsid w:val="6153717E"/>
    <w:rsid w:val="61E204D4"/>
    <w:rsid w:val="61FED6EC"/>
    <w:rsid w:val="626253CB"/>
    <w:rsid w:val="62F85366"/>
    <w:rsid w:val="62FBB02B"/>
    <w:rsid w:val="62FF66F4"/>
    <w:rsid w:val="630223DF"/>
    <w:rsid w:val="63E31AA1"/>
    <w:rsid w:val="63F3F415"/>
    <w:rsid w:val="64063AB3"/>
    <w:rsid w:val="64796AA0"/>
    <w:rsid w:val="64FE4CEB"/>
    <w:rsid w:val="65543848"/>
    <w:rsid w:val="656D651A"/>
    <w:rsid w:val="65ED20F3"/>
    <w:rsid w:val="65F25D9F"/>
    <w:rsid w:val="663E01D1"/>
    <w:rsid w:val="66567D19"/>
    <w:rsid w:val="666957E0"/>
    <w:rsid w:val="667FBC4E"/>
    <w:rsid w:val="66B137E7"/>
    <w:rsid w:val="675E67A4"/>
    <w:rsid w:val="67910D82"/>
    <w:rsid w:val="67BFF51D"/>
    <w:rsid w:val="67C52355"/>
    <w:rsid w:val="67FCD230"/>
    <w:rsid w:val="680A5576"/>
    <w:rsid w:val="68315F39"/>
    <w:rsid w:val="687F6C6A"/>
    <w:rsid w:val="688536F1"/>
    <w:rsid w:val="68B74042"/>
    <w:rsid w:val="69144BFD"/>
    <w:rsid w:val="69FF93E0"/>
    <w:rsid w:val="6A8D03A9"/>
    <w:rsid w:val="6AC82B7D"/>
    <w:rsid w:val="6B2749EB"/>
    <w:rsid w:val="6B2FA953"/>
    <w:rsid w:val="6B7A5DE9"/>
    <w:rsid w:val="6B7E8483"/>
    <w:rsid w:val="6C32762F"/>
    <w:rsid w:val="6C7F44C8"/>
    <w:rsid w:val="6C93BCF8"/>
    <w:rsid w:val="6D12026C"/>
    <w:rsid w:val="6D7F4677"/>
    <w:rsid w:val="6D8B7B9A"/>
    <w:rsid w:val="6DA9F149"/>
    <w:rsid w:val="6DDF3B7B"/>
    <w:rsid w:val="6DE51037"/>
    <w:rsid w:val="6DFDD3DF"/>
    <w:rsid w:val="6DFFA0A3"/>
    <w:rsid w:val="6E077A87"/>
    <w:rsid w:val="6E2D6C8F"/>
    <w:rsid w:val="6E7B28A5"/>
    <w:rsid w:val="6E7F0DA5"/>
    <w:rsid w:val="6F60051B"/>
    <w:rsid w:val="6F6F4FF6"/>
    <w:rsid w:val="6FB2B297"/>
    <w:rsid w:val="6FB37C9D"/>
    <w:rsid w:val="704E3C13"/>
    <w:rsid w:val="70674E58"/>
    <w:rsid w:val="70696AA3"/>
    <w:rsid w:val="70A27FA7"/>
    <w:rsid w:val="70CA7239"/>
    <w:rsid w:val="711E464B"/>
    <w:rsid w:val="71BF0C8A"/>
    <w:rsid w:val="71FA2E02"/>
    <w:rsid w:val="71FFB070"/>
    <w:rsid w:val="724A307D"/>
    <w:rsid w:val="72930E12"/>
    <w:rsid w:val="72A41061"/>
    <w:rsid w:val="72EB3E61"/>
    <w:rsid w:val="72FD3A48"/>
    <w:rsid w:val="73B17A4F"/>
    <w:rsid w:val="73BD17D5"/>
    <w:rsid w:val="73DB08E0"/>
    <w:rsid w:val="73EE510A"/>
    <w:rsid w:val="73F55920"/>
    <w:rsid w:val="747FD2D3"/>
    <w:rsid w:val="757F1EE3"/>
    <w:rsid w:val="75893A44"/>
    <w:rsid w:val="75A54E50"/>
    <w:rsid w:val="75D62912"/>
    <w:rsid w:val="75FE8285"/>
    <w:rsid w:val="760327D0"/>
    <w:rsid w:val="762728CF"/>
    <w:rsid w:val="7637A814"/>
    <w:rsid w:val="766778F4"/>
    <w:rsid w:val="767C67FA"/>
    <w:rsid w:val="76F72D19"/>
    <w:rsid w:val="77BF4BD9"/>
    <w:rsid w:val="77CB3B7D"/>
    <w:rsid w:val="77D31AA6"/>
    <w:rsid w:val="77EE5138"/>
    <w:rsid w:val="77F9CBF4"/>
    <w:rsid w:val="77FF8687"/>
    <w:rsid w:val="77FFC00E"/>
    <w:rsid w:val="78220FD7"/>
    <w:rsid w:val="78EF3BE5"/>
    <w:rsid w:val="78F06817"/>
    <w:rsid w:val="799B1E82"/>
    <w:rsid w:val="79AF1F32"/>
    <w:rsid w:val="7A4D1FE3"/>
    <w:rsid w:val="7A746345"/>
    <w:rsid w:val="7A7AF7FF"/>
    <w:rsid w:val="7AE7F756"/>
    <w:rsid w:val="7AFE2A3B"/>
    <w:rsid w:val="7B2E1DA8"/>
    <w:rsid w:val="7B454A69"/>
    <w:rsid w:val="7B5F1CB9"/>
    <w:rsid w:val="7B6ECF71"/>
    <w:rsid w:val="7B813697"/>
    <w:rsid w:val="7B976A52"/>
    <w:rsid w:val="7BAE52CC"/>
    <w:rsid w:val="7BC10338"/>
    <w:rsid w:val="7BCC7B73"/>
    <w:rsid w:val="7BDC7515"/>
    <w:rsid w:val="7BED3FB1"/>
    <w:rsid w:val="7BF5703E"/>
    <w:rsid w:val="7BFF135E"/>
    <w:rsid w:val="7BFF19C6"/>
    <w:rsid w:val="7C27E0C3"/>
    <w:rsid w:val="7C35604E"/>
    <w:rsid w:val="7C9710F6"/>
    <w:rsid w:val="7CE6FB8D"/>
    <w:rsid w:val="7CEB7EB4"/>
    <w:rsid w:val="7CF75648"/>
    <w:rsid w:val="7CFEC7BD"/>
    <w:rsid w:val="7CFFA1F3"/>
    <w:rsid w:val="7CFFBD7D"/>
    <w:rsid w:val="7D06749C"/>
    <w:rsid w:val="7D5A366E"/>
    <w:rsid w:val="7D77C87D"/>
    <w:rsid w:val="7D7D8782"/>
    <w:rsid w:val="7DC67F8A"/>
    <w:rsid w:val="7DD778C9"/>
    <w:rsid w:val="7DDB1203"/>
    <w:rsid w:val="7DDF1537"/>
    <w:rsid w:val="7DE3621D"/>
    <w:rsid w:val="7DFBC353"/>
    <w:rsid w:val="7DFFB2B0"/>
    <w:rsid w:val="7DFFCE28"/>
    <w:rsid w:val="7DFFD764"/>
    <w:rsid w:val="7E2F1E8F"/>
    <w:rsid w:val="7E2F529C"/>
    <w:rsid w:val="7E7533DD"/>
    <w:rsid w:val="7E756F35"/>
    <w:rsid w:val="7E7B19B1"/>
    <w:rsid w:val="7E7FCD0E"/>
    <w:rsid w:val="7ED3797E"/>
    <w:rsid w:val="7EDE3742"/>
    <w:rsid w:val="7EEFADF2"/>
    <w:rsid w:val="7EF544C7"/>
    <w:rsid w:val="7EF754E4"/>
    <w:rsid w:val="7EFA0F15"/>
    <w:rsid w:val="7EFB0C44"/>
    <w:rsid w:val="7F1F3E0E"/>
    <w:rsid w:val="7F5F4F43"/>
    <w:rsid w:val="7F6F8C78"/>
    <w:rsid w:val="7F79A8EB"/>
    <w:rsid w:val="7F7F96FE"/>
    <w:rsid w:val="7F7FAE41"/>
    <w:rsid w:val="7F8F24F4"/>
    <w:rsid w:val="7F9F2ADD"/>
    <w:rsid w:val="7FAD6E55"/>
    <w:rsid w:val="7FB956A8"/>
    <w:rsid w:val="7FBCBACC"/>
    <w:rsid w:val="7FD8B729"/>
    <w:rsid w:val="7FDA6CAE"/>
    <w:rsid w:val="7FDE0F56"/>
    <w:rsid w:val="7FDF595A"/>
    <w:rsid w:val="7FEFD239"/>
    <w:rsid w:val="7FF01A60"/>
    <w:rsid w:val="7FFB1D10"/>
    <w:rsid w:val="7FFD945B"/>
    <w:rsid w:val="7FFFACA7"/>
    <w:rsid w:val="8BEF036B"/>
    <w:rsid w:val="8F8FAF14"/>
    <w:rsid w:val="96FF161B"/>
    <w:rsid w:val="98E70D03"/>
    <w:rsid w:val="99EF2423"/>
    <w:rsid w:val="99FCAAB9"/>
    <w:rsid w:val="9F19FA4F"/>
    <w:rsid w:val="9FFF8839"/>
    <w:rsid w:val="A3FF0B19"/>
    <w:rsid w:val="A9FD38A8"/>
    <w:rsid w:val="AA6B5053"/>
    <w:rsid w:val="ADE266C6"/>
    <w:rsid w:val="AF32A4C7"/>
    <w:rsid w:val="AF7B9687"/>
    <w:rsid w:val="AFFF19F1"/>
    <w:rsid w:val="B3BDBFED"/>
    <w:rsid w:val="B5FA8FFB"/>
    <w:rsid w:val="B6BFBF9C"/>
    <w:rsid w:val="B6DDF120"/>
    <w:rsid w:val="B6EAA993"/>
    <w:rsid w:val="B6EB0AE5"/>
    <w:rsid w:val="B7BF0787"/>
    <w:rsid w:val="B7DF0C34"/>
    <w:rsid w:val="B7EF095D"/>
    <w:rsid w:val="B7FFC879"/>
    <w:rsid w:val="B9FD3071"/>
    <w:rsid w:val="BBBFE65E"/>
    <w:rsid w:val="BBFF272A"/>
    <w:rsid w:val="BDA1FBC3"/>
    <w:rsid w:val="BDAD97D8"/>
    <w:rsid w:val="BEA79D8E"/>
    <w:rsid w:val="BEDD5E2C"/>
    <w:rsid w:val="BEFF21A0"/>
    <w:rsid w:val="BF3F38BE"/>
    <w:rsid w:val="BF89EB88"/>
    <w:rsid w:val="BFDAF9F7"/>
    <w:rsid w:val="BFDBEAE8"/>
    <w:rsid w:val="BFECA13E"/>
    <w:rsid w:val="BFED3F79"/>
    <w:rsid w:val="BFEF820D"/>
    <w:rsid w:val="BFF7A46D"/>
    <w:rsid w:val="BFFE8CD1"/>
    <w:rsid w:val="BFFF5289"/>
    <w:rsid w:val="C3AD7DC3"/>
    <w:rsid w:val="C3D73D3D"/>
    <w:rsid w:val="C7FF9D87"/>
    <w:rsid w:val="CADD7443"/>
    <w:rsid w:val="CB3C2F16"/>
    <w:rsid w:val="CBEF492A"/>
    <w:rsid w:val="CBEFDA3E"/>
    <w:rsid w:val="CCF76E10"/>
    <w:rsid w:val="CD2A7A8A"/>
    <w:rsid w:val="CE5F0CFA"/>
    <w:rsid w:val="CFB7373F"/>
    <w:rsid w:val="CFC386D0"/>
    <w:rsid w:val="CFF79601"/>
    <w:rsid w:val="D3BBD617"/>
    <w:rsid w:val="D5F75975"/>
    <w:rsid w:val="D6916024"/>
    <w:rsid w:val="D6D0F03A"/>
    <w:rsid w:val="D777D29B"/>
    <w:rsid w:val="D7F33171"/>
    <w:rsid w:val="D95F70F6"/>
    <w:rsid w:val="D9FB6354"/>
    <w:rsid w:val="DABB33B3"/>
    <w:rsid w:val="DAD66653"/>
    <w:rsid w:val="DAFD053D"/>
    <w:rsid w:val="DB7FE5D8"/>
    <w:rsid w:val="DB870A80"/>
    <w:rsid w:val="DBDB1983"/>
    <w:rsid w:val="DBDF1B8B"/>
    <w:rsid w:val="DBE3F856"/>
    <w:rsid w:val="DBEB6E84"/>
    <w:rsid w:val="DCBBEEB0"/>
    <w:rsid w:val="DD77F559"/>
    <w:rsid w:val="DDFF1F14"/>
    <w:rsid w:val="DE7D3815"/>
    <w:rsid w:val="DEAFEF29"/>
    <w:rsid w:val="DF7F8C17"/>
    <w:rsid w:val="DFAF126E"/>
    <w:rsid w:val="DFB75412"/>
    <w:rsid w:val="DFCFCE03"/>
    <w:rsid w:val="DFFF2B91"/>
    <w:rsid w:val="DFFFD972"/>
    <w:rsid w:val="E55270EB"/>
    <w:rsid w:val="E5CE732E"/>
    <w:rsid w:val="E6E33E2D"/>
    <w:rsid w:val="E7CD608E"/>
    <w:rsid w:val="E7F16F3F"/>
    <w:rsid w:val="E8CB2F1B"/>
    <w:rsid w:val="E9FC3C48"/>
    <w:rsid w:val="EAAAE778"/>
    <w:rsid w:val="EABDA56B"/>
    <w:rsid w:val="EAEDC985"/>
    <w:rsid w:val="EAF5799C"/>
    <w:rsid w:val="EBB79061"/>
    <w:rsid w:val="EBFE1780"/>
    <w:rsid w:val="EBFFDE37"/>
    <w:rsid w:val="EC5F1F4B"/>
    <w:rsid w:val="ECD9EAE0"/>
    <w:rsid w:val="EEBF8D8E"/>
    <w:rsid w:val="EEFD517B"/>
    <w:rsid w:val="EF0D096C"/>
    <w:rsid w:val="EF0DD5F7"/>
    <w:rsid w:val="EF7EDD59"/>
    <w:rsid w:val="EF7F4C89"/>
    <w:rsid w:val="EF95CB3B"/>
    <w:rsid w:val="EF9F6FF8"/>
    <w:rsid w:val="EFB15771"/>
    <w:rsid w:val="EFB3881B"/>
    <w:rsid w:val="EFB7CE2B"/>
    <w:rsid w:val="EFBA536D"/>
    <w:rsid w:val="EFBEB4A4"/>
    <w:rsid w:val="EFCF2B08"/>
    <w:rsid w:val="EFD6ECCD"/>
    <w:rsid w:val="EFEF1300"/>
    <w:rsid w:val="F0EF2AA9"/>
    <w:rsid w:val="F1DF9A26"/>
    <w:rsid w:val="F1FB2005"/>
    <w:rsid w:val="F2AF1B45"/>
    <w:rsid w:val="F2C31398"/>
    <w:rsid w:val="F2FC7104"/>
    <w:rsid w:val="F3FFF71F"/>
    <w:rsid w:val="F4EA936E"/>
    <w:rsid w:val="F5AF3D35"/>
    <w:rsid w:val="F5DF48BF"/>
    <w:rsid w:val="F5F5A6A4"/>
    <w:rsid w:val="F61D1DCE"/>
    <w:rsid w:val="F69BD2B7"/>
    <w:rsid w:val="F6FE99CB"/>
    <w:rsid w:val="F6FF5877"/>
    <w:rsid w:val="F73F477A"/>
    <w:rsid w:val="F77D18BA"/>
    <w:rsid w:val="F78F1DFF"/>
    <w:rsid w:val="F7A5D174"/>
    <w:rsid w:val="F7EFC7B2"/>
    <w:rsid w:val="F7F741E2"/>
    <w:rsid w:val="F7F7A33B"/>
    <w:rsid w:val="F7FF770F"/>
    <w:rsid w:val="F819E1A5"/>
    <w:rsid w:val="F835BE5A"/>
    <w:rsid w:val="F8ED2214"/>
    <w:rsid w:val="F8F70E2D"/>
    <w:rsid w:val="F9F7C715"/>
    <w:rsid w:val="F9FDDF7F"/>
    <w:rsid w:val="F9FF0508"/>
    <w:rsid w:val="FA76C1BE"/>
    <w:rsid w:val="FAFC41A5"/>
    <w:rsid w:val="FAFDA4C0"/>
    <w:rsid w:val="FB76B385"/>
    <w:rsid w:val="FB976216"/>
    <w:rsid w:val="FBFAEE65"/>
    <w:rsid w:val="FBFD1B01"/>
    <w:rsid w:val="FBFF4E2A"/>
    <w:rsid w:val="FBFF7F7B"/>
    <w:rsid w:val="FCBF6FE5"/>
    <w:rsid w:val="FCEEB9E0"/>
    <w:rsid w:val="FCF6B871"/>
    <w:rsid w:val="FCFF56CB"/>
    <w:rsid w:val="FD1F5168"/>
    <w:rsid w:val="FDB71A00"/>
    <w:rsid w:val="FDEB9752"/>
    <w:rsid w:val="FDF4468A"/>
    <w:rsid w:val="FDFE97C3"/>
    <w:rsid w:val="FEA7AADD"/>
    <w:rsid w:val="FED74278"/>
    <w:rsid w:val="FEDA2E07"/>
    <w:rsid w:val="FEF67DF6"/>
    <w:rsid w:val="FEFB9E98"/>
    <w:rsid w:val="FEFD595B"/>
    <w:rsid w:val="FEFE1C2F"/>
    <w:rsid w:val="FEFE5F99"/>
    <w:rsid w:val="FEFF9F93"/>
    <w:rsid w:val="FF3AF9D9"/>
    <w:rsid w:val="FF6B9EBB"/>
    <w:rsid w:val="FF7D73A8"/>
    <w:rsid w:val="FF7EF528"/>
    <w:rsid w:val="FF7F5EBC"/>
    <w:rsid w:val="FF7F6F1D"/>
    <w:rsid w:val="FF8F552B"/>
    <w:rsid w:val="FF9DC4C6"/>
    <w:rsid w:val="FF9F7A42"/>
    <w:rsid w:val="FFAD7330"/>
    <w:rsid w:val="FFBBB6D0"/>
    <w:rsid w:val="FFBDB75D"/>
    <w:rsid w:val="FFBEE8F8"/>
    <w:rsid w:val="FFD44E92"/>
    <w:rsid w:val="FFDBA059"/>
    <w:rsid w:val="FFDBD60D"/>
    <w:rsid w:val="FFDC5D81"/>
    <w:rsid w:val="FFF7DEE7"/>
    <w:rsid w:val="FFFA706A"/>
    <w:rsid w:val="FFFA7E11"/>
    <w:rsid w:val="FFFB1CC7"/>
    <w:rsid w:val="FFFB2E61"/>
    <w:rsid w:val="FFFBFDFF"/>
    <w:rsid w:val="FFFC1798"/>
    <w:rsid w:val="FFFF5AFE"/>
    <w:rsid w:val="FFFFA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numPr>
        <w:ilvl w:val="0"/>
        <w:numId w:val="1"/>
      </w:numPr>
      <w:spacing w:beforeAutospacing="0" w:after="0" w:afterAutospacing="0"/>
      <w:ind w:firstLine="880" w:firstLineChars="200"/>
      <w:jc w:val="left"/>
      <w:outlineLvl w:val="0"/>
    </w:pPr>
    <w:rPr>
      <w:rFonts w:hint="eastAsia" w:eastAsia="黑体" w:cs="宋体"/>
      <w:bCs/>
      <w:kern w:val="44"/>
      <w:szCs w:val="48"/>
      <w:lang w:bidi="ar"/>
    </w:rPr>
  </w:style>
  <w:style w:type="paragraph" w:styleId="4">
    <w:name w:val="heading 2"/>
    <w:basedOn w:val="1"/>
    <w:next w:val="1"/>
    <w:qFormat/>
    <w:uiPriority w:val="0"/>
    <w:pPr>
      <w:numPr>
        <w:ilvl w:val="1"/>
        <w:numId w:val="1"/>
      </w:numPr>
      <w:tabs>
        <w:tab w:val="left" w:pos="295"/>
        <w:tab w:val="clear" w:pos="0"/>
      </w:tabs>
      <w:ind w:left="0" w:firstLine="880" w:firstLineChars="200"/>
      <w:outlineLvl w:val="1"/>
    </w:pPr>
    <w:rPr>
      <w:rFonts w:eastAsia="楷体_GB2312"/>
      <w:kern w:val="0"/>
    </w:rPr>
  </w:style>
  <w:style w:type="paragraph" w:styleId="5">
    <w:name w:val="heading 3"/>
    <w:basedOn w:val="1"/>
    <w:next w:val="1"/>
    <w:qFormat/>
    <w:uiPriority w:val="0"/>
    <w:pPr>
      <w:numPr>
        <w:ilvl w:val="2"/>
        <w:numId w:val="1"/>
      </w:numPr>
      <w:tabs>
        <w:tab w:val="left" w:pos="420"/>
        <w:tab w:val="clear" w:pos="0"/>
      </w:tabs>
      <w:ind w:firstLine="880" w:firstLineChars="200"/>
      <w:outlineLvl w:val="2"/>
    </w:pPr>
    <w:rPr>
      <w:kern w:val="0"/>
    </w:rPr>
  </w:style>
  <w:style w:type="paragraph" w:styleId="6">
    <w:name w:val="heading 4"/>
    <w:basedOn w:val="1"/>
    <w:next w:val="1"/>
    <w:qFormat/>
    <w:uiPriority w:val="0"/>
    <w:pPr>
      <w:numPr>
        <w:ilvl w:val="3"/>
        <w:numId w:val="1"/>
      </w:numPr>
      <w:tabs>
        <w:tab w:val="left" w:pos="420"/>
        <w:tab w:val="left" w:pos="1134"/>
        <w:tab w:val="clear" w:pos="0"/>
      </w:tabs>
      <w:ind w:firstLine="880" w:firstLineChars="200"/>
      <w:outlineLvl w:val="3"/>
    </w:pPr>
    <w:rPr>
      <w:kern w:val="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line="560" w:lineRule="exact"/>
      <w:ind w:firstLine="88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sz w:val="18"/>
    </w:rPr>
  </w:style>
  <w:style w:type="paragraph" w:styleId="10">
    <w:name w:val="Normal (Web)"/>
    <w:basedOn w:val="1"/>
    <w:qFormat/>
    <w:uiPriority w:val="0"/>
    <w:pPr>
      <w:spacing w:before="100" w:beforeAutospacing="1" w:after="100" w:afterAutospacing="1"/>
      <w:jc w:val="left"/>
    </w:pPr>
    <w:rPr>
      <w:rFonts w:eastAsia="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basedOn w:val="13"/>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16373</Words>
  <Characters>16742</Characters>
  <Lines>0</Lines>
  <Paragraphs>0</Paragraphs>
  <TotalTime>8</TotalTime>
  <ScaleCrop>false</ScaleCrop>
  <LinksUpToDate>false</LinksUpToDate>
  <CharactersWithSpaces>16767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2023-05-11T18:02:00Z</dcterms:created>
  <dc:creator>kangbowen</dc:creator>
  <cp:lastModifiedBy>shenruibao</cp:lastModifiedBy>
  <cp:lastPrinted>2023-09-11T06:13:00Z</cp:lastPrinted>
  <dcterms:modified xsi:type="dcterms:W3CDTF">2023-09-27T21:23:23Z</dcterms:modified>
  <dc:title>中央预算内投资农村电网巩固提升工程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87A1E374B8CD5B10B77BFE64787CB976</vt:lpwstr>
  </property>
</Properties>
</file>